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06FC1" w14:textId="77777777" w:rsidR="00BD5588" w:rsidRPr="00B04DA1" w:rsidRDefault="00272D57" w:rsidP="00144D93">
      <w:pPr>
        <w:shd w:val="clear" w:color="auto" w:fill="FFFFFF"/>
        <w:contextualSpacing/>
        <w:jc w:val="center"/>
        <w:rPr>
          <w:b/>
          <w:bCs/>
          <w:sz w:val="27"/>
          <w:szCs w:val="27"/>
        </w:rPr>
      </w:pPr>
      <w:r w:rsidRPr="00B04DA1">
        <w:rPr>
          <w:b/>
          <w:bCs/>
          <w:sz w:val="27"/>
          <w:szCs w:val="27"/>
        </w:rPr>
        <w:t>Likumprojekta „Grozījumi Būvniecības likumā”</w:t>
      </w:r>
      <w:r w:rsidR="00BD5588" w:rsidRPr="00B04DA1">
        <w:rPr>
          <w:b/>
          <w:bCs/>
          <w:sz w:val="27"/>
          <w:szCs w:val="27"/>
        </w:rPr>
        <w:t xml:space="preserve"> sākotnējās ietekmes novērtējuma ziņojums (anotācija)</w:t>
      </w:r>
    </w:p>
    <w:p w14:paraId="0DABEB10" w14:textId="77777777" w:rsidR="00BD5588" w:rsidRPr="00B04DA1" w:rsidRDefault="00BD5588" w:rsidP="00144D93">
      <w:pPr>
        <w:pStyle w:val="Title"/>
        <w:ind w:firstLine="539"/>
        <w:contextualSpacing/>
        <w:jc w:val="both"/>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94"/>
        <w:gridCol w:w="5302"/>
      </w:tblGrid>
      <w:tr w:rsidR="00BD5588" w:rsidRPr="00B04DA1" w14:paraId="2AF3EE6C" w14:textId="77777777" w:rsidTr="00D824C2">
        <w:trPr>
          <w:cantSplit/>
        </w:trPr>
        <w:tc>
          <w:tcPr>
            <w:tcW w:w="9581" w:type="dxa"/>
            <w:gridSpan w:val="2"/>
            <w:shd w:val="clear" w:color="auto" w:fill="FFFFFF"/>
            <w:vAlign w:val="center"/>
            <w:hideMark/>
          </w:tcPr>
          <w:p w14:paraId="17657987" w14:textId="77777777" w:rsidR="00BD5588" w:rsidRPr="00B04DA1" w:rsidRDefault="00BD5588" w:rsidP="00144D93">
            <w:pPr>
              <w:contextualSpacing/>
              <w:jc w:val="center"/>
              <w:rPr>
                <w:b/>
                <w:iCs/>
                <w:sz w:val="27"/>
                <w:szCs w:val="27"/>
                <w:lang w:eastAsia="en-US"/>
              </w:rPr>
            </w:pPr>
            <w:r w:rsidRPr="00B04DA1">
              <w:rPr>
                <w:b/>
                <w:iCs/>
                <w:sz w:val="27"/>
                <w:szCs w:val="27"/>
                <w:lang w:eastAsia="en-US"/>
              </w:rPr>
              <w:t>Tiesību akta projekta anotācijas kopsavilkums</w:t>
            </w:r>
          </w:p>
        </w:tc>
      </w:tr>
      <w:tr w:rsidR="00BD5588" w:rsidRPr="00B04DA1" w14:paraId="330DD2D4" w14:textId="77777777" w:rsidTr="00D824C2">
        <w:trPr>
          <w:cantSplit/>
        </w:trPr>
        <w:tc>
          <w:tcPr>
            <w:tcW w:w="3430" w:type="dxa"/>
            <w:shd w:val="clear" w:color="auto" w:fill="FFFFFF"/>
            <w:hideMark/>
          </w:tcPr>
          <w:p w14:paraId="6B0E742B" w14:textId="77777777" w:rsidR="00BD5588" w:rsidRPr="00B04DA1" w:rsidRDefault="00BD5588" w:rsidP="00144D93">
            <w:pPr>
              <w:contextualSpacing/>
              <w:rPr>
                <w:iCs/>
                <w:sz w:val="27"/>
                <w:szCs w:val="27"/>
                <w:lang w:eastAsia="en-US"/>
              </w:rPr>
            </w:pPr>
            <w:r w:rsidRPr="00B04DA1">
              <w:rPr>
                <w:iCs/>
                <w:sz w:val="27"/>
                <w:szCs w:val="27"/>
                <w:lang w:eastAsia="en-US"/>
              </w:rPr>
              <w:t>Mērķis, risinājums un projekta spēkā stāšanās laiks (500 zīmes bez atstarpēm)</w:t>
            </w:r>
          </w:p>
        </w:tc>
        <w:tc>
          <w:tcPr>
            <w:tcW w:w="6151" w:type="dxa"/>
            <w:shd w:val="clear" w:color="auto" w:fill="FFFFFF"/>
            <w:hideMark/>
          </w:tcPr>
          <w:p w14:paraId="248B9065" w14:textId="77777777" w:rsidR="00B9152A" w:rsidRPr="00B04DA1" w:rsidRDefault="00B9152A" w:rsidP="002912BB">
            <w:pPr>
              <w:contextualSpacing/>
              <w:jc w:val="both"/>
              <w:rPr>
                <w:sz w:val="27"/>
                <w:szCs w:val="27"/>
              </w:rPr>
            </w:pPr>
            <w:r w:rsidRPr="00B04DA1">
              <w:rPr>
                <w:sz w:val="27"/>
                <w:szCs w:val="27"/>
              </w:rPr>
              <w:t>Grozījumi Būvniecības likumā ir sagatavoti, lai:</w:t>
            </w:r>
          </w:p>
          <w:p w14:paraId="192F2AD1" w14:textId="77777777" w:rsidR="00B9152A" w:rsidRPr="00B04DA1" w:rsidRDefault="00B9152A" w:rsidP="002912BB">
            <w:pPr>
              <w:jc w:val="both"/>
              <w:rPr>
                <w:sz w:val="27"/>
                <w:szCs w:val="27"/>
              </w:rPr>
            </w:pPr>
            <w:r w:rsidRPr="00B04DA1">
              <w:rPr>
                <w:sz w:val="27"/>
                <w:szCs w:val="27"/>
              </w:rPr>
              <w:t>1. skaidri nošķirtu katra būvniecības procesa dalībnieka atbildību;</w:t>
            </w:r>
          </w:p>
          <w:p w14:paraId="418A4946" w14:textId="77777777" w:rsidR="00B9152A" w:rsidRPr="00B04DA1" w:rsidRDefault="00B9152A" w:rsidP="002912BB">
            <w:pPr>
              <w:jc w:val="both"/>
              <w:rPr>
                <w:sz w:val="27"/>
                <w:szCs w:val="27"/>
              </w:rPr>
            </w:pPr>
            <w:r w:rsidRPr="00B04DA1">
              <w:rPr>
                <w:sz w:val="27"/>
                <w:szCs w:val="27"/>
              </w:rPr>
              <w:t>2. konkretizētu būvvaldes un Būvniecības valsts kontroles biroja kompetenci;</w:t>
            </w:r>
          </w:p>
          <w:p w14:paraId="7129E8DB" w14:textId="77777777" w:rsidR="00B9152A" w:rsidRPr="00B04DA1" w:rsidRDefault="00B9152A" w:rsidP="002912BB">
            <w:pPr>
              <w:jc w:val="both"/>
              <w:rPr>
                <w:sz w:val="27"/>
                <w:szCs w:val="27"/>
              </w:rPr>
            </w:pPr>
            <w:r w:rsidRPr="00B04DA1">
              <w:rPr>
                <w:sz w:val="27"/>
                <w:szCs w:val="27"/>
              </w:rPr>
              <w:t xml:space="preserve">3. novērstu </w:t>
            </w:r>
            <w:proofErr w:type="spellStart"/>
            <w:r w:rsidRPr="00B04DA1">
              <w:rPr>
                <w:sz w:val="27"/>
                <w:szCs w:val="27"/>
              </w:rPr>
              <w:t>būvspeciālistu</w:t>
            </w:r>
            <w:proofErr w:type="spellEnd"/>
            <w:r w:rsidRPr="00B04DA1">
              <w:rPr>
                <w:sz w:val="27"/>
                <w:szCs w:val="27"/>
              </w:rPr>
              <w:t xml:space="preserve"> trūkumu;</w:t>
            </w:r>
          </w:p>
          <w:p w14:paraId="6FD6FF02" w14:textId="77777777" w:rsidR="00B9152A" w:rsidRPr="00B04DA1" w:rsidRDefault="00B9152A" w:rsidP="002912BB">
            <w:pPr>
              <w:jc w:val="both"/>
              <w:rPr>
                <w:sz w:val="27"/>
                <w:szCs w:val="27"/>
              </w:rPr>
            </w:pPr>
            <w:r w:rsidRPr="00B04DA1">
              <w:rPr>
                <w:sz w:val="27"/>
                <w:szCs w:val="27"/>
              </w:rPr>
              <w:t>4. uzlabotu būvniecības procesa reg</w:t>
            </w:r>
            <w:r w:rsidR="002912BB" w:rsidRPr="00B04DA1">
              <w:rPr>
                <w:sz w:val="27"/>
                <w:szCs w:val="27"/>
              </w:rPr>
              <w:t>ulējumu, tai skaitā novēršot konstatētās neskaidrības Būvniecības likuma piemērošanā.</w:t>
            </w:r>
          </w:p>
          <w:p w14:paraId="2601EDD5" w14:textId="130F1643" w:rsidR="00B9152A" w:rsidRPr="00B04DA1" w:rsidRDefault="00B9152A" w:rsidP="002912BB">
            <w:pPr>
              <w:jc w:val="both"/>
              <w:rPr>
                <w:i/>
                <w:iCs/>
                <w:sz w:val="27"/>
                <w:szCs w:val="27"/>
                <w:lang w:eastAsia="en-US"/>
              </w:rPr>
            </w:pPr>
            <w:r w:rsidRPr="00B04DA1">
              <w:rPr>
                <w:sz w:val="27"/>
                <w:szCs w:val="27"/>
              </w:rPr>
              <w:t xml:space="preserve">Regulējums attiecībā uz izmaiņām </w:t>
            </w:r>
            <w:r w:rsidR="002912BB" w:rsidRPr="00B04DA1">
              <w:rPr>
                <w:sz w:val="27"/>
                <w:szCs w:val="27"/>
              </w:rPr>
              <w:t>lēmumu pieņemšanas termiņos būvniecības administratīvajā procesā stāsies spēkā 01.07.2019.</w:t>
            </w:r>
            <w:r w:rsidR="001D75F2" w:rsidRPr="00B04DA1">
              <w:rPr>
                <w:sz w:val="27"/>
                <w:szCs w:val="27"/>
              </w:rPr>
              <w:t xml:space="preserve"> R</w:t>
            </w:r>
            <w:r w:rsidR="00835885" w:rsidRPr="00B04DA1">
              <w:rPr>
                <w:sz w:val="27"/>
                <w:szCs w:val="27"/>
              </w:rPr>
              <w:t xml:space="preserve">egulējums </w:t>
            </w:r>
            <w:r w:rsidR="00AE1F9D" w:rsidRPr="00B04DA1">
              <w:rPr>
                <w:sz w:val="27"/>
                <w:szCs w:val="27"/>
              </w:rPr>
              <w:t>p</w:t>
            </w:r>
            <w:r w:rsidR="00835885" w:rsidRPr="00B04DA1">
              <w:rPr>
                <w:sz w:val="27"/>
                <w:szCs w:val="27"/>
              </w:rPr>
              <w:t>ar būvniecības ierosinātāja atbildību pret trešajām personām stājas spēkā 01.01.2019.</w:t>
            </w:r>
            <w:r w:rsidR="00457485" w:rsidRPr="00B04DA1">
              <w:rPr>
                <w:sz w:val="27"/>
                <w:szCs w:val="27"/>
              </w:rPr>
              <w:t xml:space="preserve"> Regulējums par Būvniecības valsts kontroles biroja maksas pakalpojumiem stājas spēkā 01.01.2010.</w:t>
            </w:r>
          </w:p>
        </w:tc>
      </w:tr>
    </w:tbl>
    <w:p w14:paraId="345DEFAD" w14:textId="77777777" w:rsidR="00BD5588" w:rsidRPr="00B04DA1" w:rsidRDefault="00BD5588" w:rsidP="00144D93">
      <w:pPr>
        <w:pStyle w:val="Title"/>
        <w:ind w:firstLine="539"/>
        <w:contextualSpacing/>
        <w:jc w:val="both"/>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B04DA1" w14:paraId="7DE6B3DF" w14:textId="77777777" w:rsidTr="00D766C6">
        <w:tc>
          <w:tcPr>
            <w:tcW w:w="5000" w:type="pct"/>
            <w:gridSpan w:val="3"/>
            <w:vAlign w:val="center"/>
            <w:hideMark/>
          </w:tcPr>
          <w:p w14:paraId="12C07F77" w14:textId="77777777" w:rsidR="00BD5588" w:rsidRPr="00B04DA1" w:rsidRDefault="00BD5588" w:rsidP="00144D93">
            <w:pPr>
              <w:contextualSpacing/>
              <w:jc w:val="center"/>
              <w:rPr>
                <w:b/>
                <w:bCs/>
                <w:sz w:val="27"/>
                <w:szCs w:val="27"/>
              </w:rPr>
            </w:pPr>
            <w:r w:rsidRPr="00B04DA1">
              <w:rPr>
                <w:b/>
                <w:bCs/>
                <w:sz w:val="27"/>
                <w:szCs w:val="27"/>
              </w:rPr>
              <w:t>I. Tiesību akta projekta izstrādes nepieciešamība</w:t>
            </w:r>
          </w:p>
        </w:tc>
      </w:tr>
      <w:tr w:rsidR="00BD5588" w:rsidRPr="00B04DA1" w14:paraId="429E6D94" w14:textId="77777777" w:rsidTr="00D766C6">
        <w:tc>
          <w:tcPr>
            <w:tcW w:w="311" w:type="pct"/>
            <w:hideMark/>
          </w:tcPr>
          <w:p w14:paraId="168F6255" w14:textId="77777777" w:rsidR="00BD5588" w:rsidRPr="00B04DA1" w:rsidRDefault="00BD5588" w:rsidP="00144D93">
            <w:pPr>
              <w:contextualSpacing/>
              <w:jc w:val="center"/>
              <w:rPr>
                <w:sz w:val="27"/>
                <w:szCs w:val="27"/>
              </w:rPr>
            </w:pPr>
            <w:r w:rsidRPr="00B04DA1">
              <w:rPr>
                <w:sz w:val="27"/>
                <w:szCs w:val="27"/>
              </w:rPr>
              <w:t>1.</w:t>
            </w:r>
          </w:p>
        </w:tc>
        <w:tc>
          <w:tcPr>
            <w:tcW w:w="1479" w:type="pct"/>
            <w:hideMark/>
          </w:tcPr>
          <w:p w14:paraId="15BC1526" w14:textId="77777777" w:rsidR="00BD5588" w:rsidRPr="00B04DA1" w:rsidRDefault="00BD5588" w:rsidP="00144D93">
            <w:pPr>
              <w:contextualSpacing/>
              <w:rPr>
                <w:sz w:val="27"/>
                <w:szCs w:val="27"/>
              </w:rPr>
            </w:pPr>
            <w:r w:rsidRPr="00B04DA1">
              <w:rPr>
                <w:sz w:val="27"/>
                <w:szCs w:val="27"/>
              </w:rPr>
              <w:t>Pamatojums</w:t>
            </w:r>
          </w:p>
        </w:tc>
        <w:tc>
          <w:tcPr>
            <w:tcW w:w="3210" w:type="pct"/>
            <w:hideMark/>
          </w:tcPr>
          <w:p w14:paraId="6B84041B" w14:textId="65548C79" w:rsidR="00040197" w:rsidRPr="00B04DA1" w:rsidRDefault="00040197" w:rsidP="00835885">
            <w:pPr>
              <w:contextualSpacing/>
              <w:jc w:val="both"/>
              <w:rPr>
                <w:sz w:val="27"/>
                <w:szCs w:val="27"/>
              </w:rPr>
            </w:pPr>
            <w:r w:rsidRPr="00B04DA1">
              <w:rPr>
                <w:sz w:val="27"/>
                <w:szCs w:val="27"/>
              </w:rPr>
              <w:t>Ar Ministru kabineta 03.05.2016. rīkojumu Nr.275 „Par Valdības rīcības plānu Deklarācijas par Māra Kučinska vadītā Ministru kabineta iecerēto darbību īstenošanai” apstiprinātā rīcības plāna 37.1. </w:t>
            </w:r>
            <w:r w:rsidR="00CD346E" w:rsidRPr="00B04DA1">
              <w:rPr>
                <w:sz w:val="27"/>
                <w:szCs w:val="27"/>
              </w:rPr>
              <w:t>pasākumā</w:t>
            </w:r>
            <w:r w:rsidRPr="00B04DA1">
              <w:rPr>
                <w:sz w:val="27"/>
                <w:szCs w:val="27"/>
              </w:rPr>
              <w:t xml:space="preserve"> ir noteikts, ka ir nepieciešams izstrādāt ar būvniecības nozari saskaņotu Būvniecības politikas plānošanas dokumentu 2017.–2023. gadam, kas paredz risinājumus būvniecības nozares produktivitātes un konkurētspējas celšanai. Ņemot vērā iepriekš minēto pasākumu, ir izstrādāta un Latvijas Būvniecības padomē 13.04.2017. apstiprināta Latvijas būvniecības nozares attīs</w:t>
            </w:r>
            <w:r w:rsidR="00835885" w:rsidRPr="00B04DA1">
              <w:rPr>
                <w:sz w:val="27"/>
                <w:szCs w:val="27"/>
              </w:rPr>
              <w:t>tības stratēģija 2017. – 2024. g</w:t>
            </w:r>
            <w:r w:rsidRPr="00B04DA1">
              <w:rPr>
                <w:sz w:val="27"/>
                <w:szCs w:val="27"/>
              </w:rPr>
              <w:t xml:space="preserve">adam. Šajā stratēģija kā viens no rīcības virzieniem efektīvas būvniecības procesa </w:t>
            </w:r>
            <w:r w:rsidR="00F97242" w:rsidRPr="00B04DA1">
              <w:rPr>
                <w:sz w:val="27"/>
                <w:szCs w:val="27"/>
              </w:rPr>
              <w:t>nodrošināšanai</w:t>
            </w:r>
            <w:r w:rsidRPr="00B04DA1">
              <w:rPr>
                <w:sz w:val="27"/>
                <w:szCs w:val="27"/>
              </w:rPr>
              <w:t xml:space="preserve"> ir </w:t>
            </w:r>
            <w:r w:rsidR="003D3D27" w:rsidRPr="00B04DA1">
              <w:rPr>
                <w:sz w:val="27"/>
                <w:szCs w:val="27"/>
              </w:rPr>
              <w:t xml:space="preserve">noteikts – </w:t>
            </w:r>
            <w:r w:rsidR="00F97242" w:rsidRPr="00B04DA1">
              <w:rPr>
                <w:sz w:val="27"/>
                <w:szCs w:val="27"/>
              </w:rPr>
              <w:t>jāpilnveido būvni</w:t>
            </w:r>
            <w:r w:rsidR="003D3D27" w:rsidRPr="00B04DA1">
              <w:rPr>
                <w:sz w:val="27"/>
                <w:szCs w:val="27"/>
              </w:rPr>
              <w:t xml:space="preserve">ecības nozares regulējums, </w:t>
            </w:r>
            <w:r w:rsidR="00F97242" w:rsidRPr="00B04DA1">
              <w:rPr>
                <w:sz w:val="27"/>
                <w:szCs w:val="27"/>
              </w:rPr>
              <w:t xml:space="preserve">nosakot precīzu pušu atbildību. Līdzīgi arī Uzņēmējdarbības vides pilnveidošanas pasākumu plāna (Ministru kabineta 15.03.2017. rīkojums Nr. 125 „Par Uzņēmējdarbības vides pilnveidošanas </w:t>
            </w:r>
            <w:r w:rsidR="00F97242" w:rsidRPr="00B04DA1">
              <w:rPr>
                <w:sz w:val="27"/>
                <w:szCs w:val="27"/>
              </w:rPr>
              <w:lastRenderedPageBreak/>
              <w:t>pasākumu plānu”) 3.2.3. pasākumā ir noteikts, ka ir nepieciešamas izstrādāt grozījumus normatīvajos aktos, kas paredz konkrētu atbildību visām būvniecīb</w:t>
            </w:r>
            <w:r w:rsidR="003D3D27" w:rsidRPr="00B04DA1">
              <w:rPr>
                <w:sz w:val="27"/>
                <w:szCs w:val="27"/>
              </w:rPr>
              <w:t>as procesā iesaistītajām pusēm.</w:t>
            </w:r>
          </w:p>
        </w:tc>
      </w:tr>
      <w:tr w:rsidR="00BD5588" w:rsidRPr="00B04DA1" w14:paraId="69F54EBF" w14:textId="77777777" w:rsidTr="00D766C6">
        <w:tc>
          <w:tcPr>
            <w:tcW w:w="311" w:type="pct"/>
            <w:hideMark/>
          </w:tcPr>
          <w:p w14:paraId="52DEA4A6" w14:textId="77777777" w:rsidR="00BD5588" w:rsidRPr="00B04DA1" w:rsidRDefault="00BD5588" w:rsidP="00144D93">
            <w:pPr>
              <w:contextualSpacing/>
              <w:jc w:val="center"/>
              <w:rPr>
                <w:sz w:val="27"/>
                <w:szCs w:val="27"/>
              </w:rPr>
            </w:pPr>
            <w:r w:rsidRPr="00B04DA1">
              <w:rPr>
                <w:sz w:val="27"/>
                <w:szCs w:val="27"/>
              </w:rPr>
              <w:lastRenderedPageBreak/>
              <w:t>2.</w:t>
            </w:r>
          </w:p>
        </w:tc>
        <w:tc>
          <w:tcPr>
            <w:tcW w:w="1479" w:type="pct"/>
            <w:hideMark/>
          </w:tcPr>
          <w:p w14:paraId="425F64FF" w14:textId="77777777" w:rsidR="00BD5588" w:rsidRPr="00B04DA1" w:rsidRDefault="00BD5588" w:rsidP="00144D93">
            <w:pPr>
              <w:contextualSpacing/>
              <w:rPr>
                <w:sz w:val="27"/>
                <w:szCs w:val="27"/>
              </w:rPr>
            </w:pPr>
            <w:r w:rsidRPr="00B04DA1">
              <w:rPr>
                <w:sz w:val="27"/>
                <w:szCs w:val="27"/>
              </w:rPr>
              <w:t>Pašreizējā situācija un problēmas, kuru risināšanai tiesību akta projekts izstrādāts, tiesiskā regulējuma mērķis un būtība</w:t>
            </w:r>
          </w:p>
        </w:tc>
        <w:tc>
          <w:tcPr>
            <w:tcW w:w="3210" w:type="pct"/>
            <w:hideMark/>
          </w:tcPr>
          <w:p w14:paraId="60B26BAB" w14:textId="3C0D55BD" w:rsidR="00FD5F92" w:rsidRPr="00B04DA1" w:rsidRDefault="00FD5F92" w:rsidP="00FD5F92">
            <w:pPr>
              <w:jc w:val="both"/>
              <w:rPr>
                <w:sz w:val="27"/>
                <w:szCs w:val="27"/>
              </w:rPr>
            </w:pPr>
            <w:r w:rsidRPr="00B04DA1">
              <w:rPr>
                <w:sz w:val="27"/>
                <w:szCs w:val="27"/>
              </w:rPr>
              <w:t xml:space="preserve">Spēkā esošais </w:t>
            </w:r>
            <w:r w:rsidR="00D766C6" w:rsidRPr="00B04DA1">
              <w:rPr>
                <w:sz w:val="27"/>
                <w:szCs w:val="27"/>
              </w:rPr>
              <w:t xml:space="preserve">būvniecības </w:t>
            </w:r>
            <w:r w:rsidRPr="00B04DA1">
              <w:rPr>
                <w:sz w:val="27"/>
                <w:szCs w:val="27"/>
              </w:rPr>
              <w:t xml:space="preserve">regulējums attiecībā uz </w:t>
            </w:r>
            <w:r w:rsidR="00D766C6" w:rsidRPr="00B04DA1">
              <w:rPr>
                <w:sz w:val="27"/>
                <w:szCs w:val="27"/>
              </w:rPr>
              <w:t>būvniecības ierosinātāja (</w:t>
            </w:r>
            <w:r w:rsidRPr="00B04DA1">
              <w:rPr>
                <w:sz w:val="27"/>
                <w:szCs w:val="27"/>
              </w:rPr>
              <w:t>pasūtītāja</w:t>
            </w:r>
            <w:r w:rsidR="00D766C6" w:rsidRPr="00B04DA1">
              <w:rPr>
                <w:sz w:val="27"/>
                <w:szCs w:val="27"/>
              </w:rPr>
              <w:t>)</w:t>
            </w:r>
            <w:r w:rsidRPr="00B04DA1">
              <w:rPr>
                <w:sz w:val="27"/>
                <w:szCs w:val="27"/>
              </w:rPr>
              <w:t xml:space="preserve"> un trešo personu in</w:t>
            </w:r>
            <w:r w:rsidR="00DD20F3" w:rsidRPr="00B04DA1">
              <w:rPr>
                <w:sz w:val="27"/>
                <w:szCs w:val="27"/>
              </w:rPr>
              <w:t>terešu aizsardzību nav efektīvs. N</w:t>
            </w:r>
            <w:r w:rsidRPr="00B04DA1">
              <w:rPr>
                <w:sz w:val="27"/>
                <w:szCs w:val="27"/>
              </w:rPr>
              <w:t>ekv</w:t>
            </w:r>
            <w:r w:rsidR="00DD20F3" w:rsidRPr="00B04DA1">
              <w:rPr>
                <w:sz w:val="27"/>
                <w:szCs w:val="27"/>
              </w:rPr>
              <w:t>alitatīvas būvniecības gadījumā</w:t>
            </w:r>
            <w:r w:rsidRPr="00B04DA1">
              <w:rPr>
                <w:sz w:val="27"/>
                <w:szCs w:val="27"/>
              </w:rPr>
              <w:t xml:space="preserve"> kaitējuma novēršanas un zaudējumu atlīdzināšanas process ir sarežģīts un laikietilpīgs. Tāpat spēkā esošais regulējums </w:t>
            </w:r>
            <w:r w:rsidR="00DD20F3" w:rsidRPr="00B04DA1">
              <w:rPr>
                <w:sz w:val="27"/>
                <w:szCs w:val="27"/>
              </w:rPr>
              <w:t xml:space="preserve">nav efektīvs </w:t>
            </w:r>
            <w:r w:rsidRPr="00B04DA1">
              <w:rPr>
                <w:sz w:val="27"/>
                <w:szCs w:val="27"/>
              </w:rPr>
              <w:t xml:space="preserve">attiecībā uz būvniecības (būvprojektu un būvdarbu) </w:t>
            </w:r>
            <w:r w:rsidR="00FF2538" w:rsidRPr="00B04DA1">
              <w:rPr>
                <w:sz w:val="27"/>
                <w:szCs w:val="27"/>
              </w:rPr>
              <w:t>kvalitātes</w:t>
            </w:r>
            <w:r w:rsidR="00AF3119" w:rsidRPr="00B04DA1">
              <w:rPr>
                <w:sz w:val="27"/>
                <w:szCs w:val="27"/>
              </w:rPr>
              <w:t xml:space="preserve"> veicināšanu</w:t>
            </w:r>
            <w:r w:rsidRPr="00B04DA1">
              <w:rPr>
                <w:sz w:val="27"/>
                <w:szCs w:val="27"/>
              </w:rPr>
              <w:t>, proti, tas ne visos gadījumos nodrošina kv</w:t>
            </w:r>
            <w:r w:rsidR="00DD20F3" w:rsidRPr="00B04DA1">
              <w:rPr>
                <w:sz w:val="27"/>
                <w:szCs w:val="27"/>
              </w:rPr>
              <w:t>alitatīvu būvprojektu sagatavošanu</w:t>
            </w:r>
            <w:r w:rsidRPr="00B04DA1">
              <w:rPr>
                <w:sz w:val="27"/>
                <w:szCs w:val="27"/>
              </w:rPr>
              <w:t xml:space="preserve"> un atbilstošu būvdarbu veikšanu:</w:t>
            </w:r>
          </w:p>
          <w:p w14:paraId="37D96194" w14:textId="77777777" w:rsidR="00FD5F92" w:rsidRPr="00B04DA1" w:rsidRDefault="00FD5F92" w:rsidP="00FD5F92">
            <w:pPr>
              <w:jc w:val="both"/>
              <w:rPr>
                <w:sz w:val="27"/>
                <w:szCs w:val="27"/>
              </w:rPr>
            </w:pPr>
            <w:r w:rsidRPr="00B04DA1">
              <w:rPr>
                <w:sz w:val="27"/>
                <w:szCs w:val="27"/>
              </w:rPr>
              <w:t>a)</w:t>
            </w:r>
            <w:r w:rsidR="00D766C6" w:rsidRPr="00B04DA1">
              <w:rPr>
                <w:sz w:val="27"/>
                <w:szCs w:val="27"/>
              </w:rPr>
              <w:t> </w:t>
            </w:r>
            <w:r w:rsidRPr="00B04DA1">
              <w:rPr>
                <w:sz w:val="27"/>
                <w:szCs w:val="27"/>
              </w:rPr>
              <w:t xml:space="preserve">būvniecības dalībnieku atbildības regulējums ir vispārīgs un neskaidrs. Nav strikti nodalīta procesa dalībnieka (juridiskās personas) un procesā iesaistītā sertificētā </w:t>
            </w:r>
            <w:proofErr w:type="spellStart"/>
            <w:r w:rsidRPr="00B04DA1">
              <w:rPr>
                <w:sz w:val="27"/>
                <w:szCs w:val="27"/>
              </w:rPr>
              <w:t>būvspeciālista</w:t>
            </w:r>
            <w:proofErr w:type="spellEnd"/>
            <w:r w:rsidRPr="00B04DA1">
              <w:rPr>
                <w:sz w:val="27"/>
                <w:szCs w:val="27"/>
              </w:rPr>
              <w:t xml:space="preserve"> (fiziskās personas) atbildība. Būvniecības procesa dalībnieka (juridiskās personas) un sertificētā </w:t>
            </w:r>
            <w:proofErr w:type="spellStart"/>
            <w:r w:rsidRPr="00B04DA1">
              <w:rPr>
                <w:sz w:val="27"/>
                <w:szCs w:val="27"/>
              </w:rPr>
              <w:t>būvspeciālista</w:t>
            </w:r>
            <w:proofErr w:type="spellEnd"/>
            <w:r w:rsidRPr="00B04DA1">
              <w:rPr>
                <w:sz w:val="27"/>
                <w:szCs w:val="27"/>
              </w:rPr>
              <w:t xml:space="preserve"> pienākumi dublējas;</w:t>
            </w:r>
          </w:p>
          <w:p w14:paraId="2981382B" w14:textId="6600293D" w:rsidR="00FD5F92" w:rsidRPr="00B04DA1" w:rsidRDefault="00FD5F92" w:rsidP="00FD5F92">
            <w:pPr>
              <w:jc w:val="both"/>
              <w:rPr>
                <w:sz w:val="27"/>
                <w:szCs w:val="27"/>
              </w:rPr>
            </w:pPr>
            <w:r w:rsidRPr="00B04DA1">
              <w:rPr>
                <w:sz w:val="27"/>
                <w:szCs w:val="27"/>
              </w:rPr>
              <w:t>b)</w:t>
            </w:r>
            <w:r w:rsidR="00D766C6" w:rsidRPr="00B04DA1">
              <w:rPr>
                <w:sz w:val="27"/>
                <w:szCs w:val="27"/>
              </w:rPr>
              <w:t> </w:t>
            </w:r>
            <w:r w:rsidRPr="00B04DA1">
              <w:rPr>
                <w:sz w:val="27"/>
                <w:szCs w:val="27"/>
              </w:rPr>
              <w:t>nav strikti nodalīta atbildība starp būvniecības</w:t>
            </w:r>
            <w:r w:rsidR="003D3D27" w:rsidRPr="00B04DA1">
              <w:rPr>
                <w:sz w:val="27"/>
                <w:szCs w:val="27"/>
              </w:rPr>
              <w:t xml:space="preserve"> procesa dalībniekiem</w:t>
            </w:r>
            <w:r w:rsidR="00D766C6" w:rsidRPr="00B04DA1">
              <w:rPr>
                <w:sz w:val="27"/>
                <w:szCs w:val="27"/>
              </w:rPr>
              <w:t>;</w:t>
            </w:r>
          </w:p>
          <w:p w14:paraId="5D549572" w14:textId="6E016FAB" w:rsidR="00FD5F92" w:rsidRPr="00B04DA1" w:rsidRDefault="00FD5F92" w:rsidP="00FD5F92">
            <w:pPr>
              <w:jc w:val="both"/>
              <w:rPr>
                <w:sz w:val="27"/>
                <w:szCs w:val="27"/>
              </w:rPr>
            </w:pPr>
            <w:r w:rsidRPr="00B04DA1">
              <w:rPr>
                <w:sz w:val="27"/>
                <w:szCs w:val="27"/>
              </w:rPr>
              <w:t>c)</w:t>
            </w:r>
            <w:r w:rsidR="00D766C6" w:rsidRPr="00B04DA1">
              <w:rPr>
                <w:sz w:val="27"/>
                <w:szCs w:val="27"/>
              </w:rPr>
              <w:t> </w:t>
            </w:r>
            <w:r w:rsidR="003679B9" w:rsidRPr="00B04DA1">
              <w:rPr>
                <w:sz w:val="27"/>
                <w:szCs w:val="27"/>
              </w:rPr>
              <w:t xml:space="preserve">ne visos </w:t>
            </w:r>
            <w:r w:rsidRPr="00B04DA1">
              <w:rPr>
                <w:sz w:val="27"/>
                <w:szCs w:val="27"/>
              </w:rPr>
              <w:t xml:space="preserve">gadījumos, ja būvprojektā vai būvdarbos tiek atklātas kļūdas, </w:t>
            </w:r>
            <w:r w:rsidR="007C69B6" w:rsidRPr="00B04DA1">
              <w:rPr>
                <w:sz w:val="27"/>
                <w:szCs w:val="27"/>
              </w:rPr>
              <w:t xml:space="preserve">tas </w:t>
            </w:r>
            <w:r w:rsidRPr="00B04DA1">
              <w:rPr>
                <w:sz w:val="27"/>
                <w:szCs w:val="27"/>
              </w:rPr>
              <w:t xml:space="preserve">tiek paziņots </w:t>
            </w:r>
            <w:proofErr w:type="spellStart"/>
            <w:r w:rsidRPr="00B04DA1">
              <w:rPr>
                <w:sz w:val="27"/>
                <w:szCs w:val="27"/>
              </w:rPr>
              <w:t>būvspeciālistu</w:t>
            </w:r>
            <w:proofErr w:type="spellEnd"/>
            <w:r w:rsidRPr="00B04DA1">
              <w:rPr>
                <w:sz w:val="27"/>
                <w:szCs w:val="27"/>
              </w:rPr>
              <w:t xml:space="preserve"> sertificēšanas institūcijām. Tādējādi netiek uzkrāta informācija par “riskantiem” </w:t>
            </w:r>
            <w:proofErr w:type="spellStart"/>
            <w:r w:rsidRPr="00B04DA1">
              <w:rPr>
                <w:sz w:val="27"/>
                <w:szCs w:val="27"/>
              </w:rPr>
              <w:t>būvspeciālistiem</w:t>
            </w:r>
            <w:proofErr w:type="spellEnd"/>
            <w:r w:rsidRPr="00B04DA1">
              <w:rPr>
                <w:sz w:val="27"/>
                <w:szCs w:val="27"/>
              </w:rPr>
              <w:t xml:space="preserve"> un būvniecības procesa dalībniekiem, pie kuriem tie stādā. Tas noved pie tā, ka šīs personas visbiežāk var bez jebkādām turpmākām finansiālām sekām turpināt savu darbību, piemēram, šīm personām nākošā apdrošināšanas polises prēmija nav ievērojami lielāka;</w:t>
            </w:r>
          </w:p>
          <w:p w14:paraId="10F62FBA" w14:textId="0F0332BE" w:rsidR="00FD5F92" w:rsidRPr="00B04DA1" w:rsidRDefault="00FD5F92" w:rsidP="00FD5F92">
            <w:pPr>
              <w:jc w:val="both"/>
              <w:rPr>
                <w:sz w:val="27"/>
                <w:szCs w:val="27"/>
              </w:rPr>
            </w:pPr>
            <w:r w:rsidRPr="00B04DA1">
              <w:rPr>
                <w:sz w:val="27"/>
                <w:szCs w:val="27"/>
              </w:rPr>
              <w:t>d)</w:t>
            </w:r>
            <w:r w:rsidR="00267083" w:rsidRPr="00B04DA1">
              <w:rPr>
                <w:sz w:val="27"/>
                <w:szCs w:val="27"/>
              </w:rPr>
              <w:t> </w:t>
            </w:r>
            <w:r w:rsidRPr="00B04DA1">
              <w:rPr>
                <w:sz w:val="27"/>
                <w:szCs w:val="27"/>
              </w:rPr>
              <w:t xml:space="preserve">praksē zaudējumu atlīdzināšana ir iespējama tikai ceļot prasību tiesā, turklāt vainīgās personas noskaidrošana un pierādījumu iegūšanas nasta ir uzlikta uz zaudējumus cietušo personu. Obligātā civiltiesiskās apdrošināšanas spēkā esošais regulējums nav sasniedzis iecerēto mērķi (ātrs un atbilstošs atlīdzinājums), apdrošināšanas prēmijas izmaksa praksē var notikt tikai pēc </w:t>
            </w:r>
            <w:r w:rsidRPr="00B04DA1">
              <w:rPr>
                <w:sz w:val="27"/>
                <w:szCs w:val="27"/>
              </w:rPr>
              <w:lastRenderedPageBreak/>
              <w:t>tiesvedības pabeigšanas. Turklāt, apdrošināšana, lai gan teorētiski nosedz visu būvniecības procesu, praksē ir sadrumstalota (katram posmam ir sava apdrošināšana ar atšķirīgiem nosacījumiem);</w:t>
            </w:r>
          </w:p>
          <w:p w14:paraId="4F91A8F8" w14:textId="77777777" w:rsidR="00FD5F92" w:rsidRPr="00B04DA1" w:rsidRDefault="00FD5F92" w:rsidP="00FD5F92">
            <w:pPr>
              <w:jc w:val="both"/>
              <w:rPr>
                <w:sz w:val="27"/>
                <w:szCs w:val="27"/>
              </w:rPr>
            </w:pPr>
            <w:r w:rsidRPr="00B04DA1">
              <w:rPr>
                <w:sz w:val="27"/>
                <w:szCs w:val="27"/>
              </w:rPr>
              <w:t>e)</w:t>
            </w:r>
            <w:r w:rsidR="00267083" w:rsidRPr="00B04DA1">
              <w:rPr>
                <w:sz w:val="27"/>
                <w:szCs w:val="27"/>
              </w:rPr>
              <w:t> </w:t>
            </w:r>
            <w:r w:rsidRPr="00B04DA1">
              <w:rPr>
                <w:sz w:val="27"/>
                <w:szCs w:val="27"/>
              </w:rPr>
              <w:t>tiesvedība ir sarežģīta</w:t>
            </w:r>
            <w:r w:rsidR="00DD20F3" w:rsidRPr="00B04DA1">
              <w:rPr>
                <w:sz w:val="27"/>
                <w:szCs w:val="27"/>
              </w:rPr>
              <w:t xml:space="preserve"> un laikietilpīga neskaidrā</w:t>
            </w:r>
            <w:r w:rsidRPr="00B04DA1">
              <w:rPr>
                <w:sz w:val="27"/>
                <w:szCs w:val="27"/>
              </w:rPr>
              <w:t xml:space="preserve"> atbildības sadalījuma dēļ;</w:t>
            </w:r>
          </w:p>
          <w:p w14:paraId="220C06FD" w14:textId="77777777" w:rsidR="00FD5F92" w:rsidRPr="00B04DA1" w:rsidRDefault="00FD5F92" w:rsidP="00FD5F92">
            <w:pPr>
              <w:jc w:val="both"/>
              <w:rPr>
                <w:sz w:val="27"/>
                <w:szCs w:val="27"/>
              </w:rPr>
            </w:pPr>
            <w:r w:rsidRPr="00B04DA1">
              <w:rPr>
                <w:sz w:val="27"/>
                <w:szCs w:val="27"/>
              </w:rPr>
              <w:t>f)</w:t>
            </w:r>
            <w:r w:rsidR="00267083" w:rsidRPr="00B04DA1">
              <w:rPr>
                <w:sz w:val="27"/>
                <w:szCs w:val="27"/>
              </w:rPr>
              <w:t> </w:t>
            </w:r>
            <w:r w:rsidRPr="00B04DA1">
              <w:rPr>
                <w:sz w:val="27"/>
                <w:szCs w:val="27"/>
              </w:rPr>
              <w:t>sadrumstalota un neskaidra atsevišķu kontrolējošu iestāžu kompetence, piemēram, būvvaldes kompetencē pārsvarā ir visa būvniecības procesa kontrole, tai pašā laikā, piemēram, ugunsdrošības prasību kontrole ir piekritīga Valsts ugunsdzēsības un glābšanas dienestam. Visai bieži neatbilstības ugunsdrošības regulējumam a</w:t>
            </w:r>
            <w:r w:rsidR="00267083" w:rsidRPr="00B04DA1">
              <w:rPr>
                <w:sz w:val="27"/>
                <w:szCs w:val="27"/>
              </w:rPr>
              <w:t xml:space="preserve">tklājās tad, kad </w:t>
            </w:r>
            <w:r w:rsidR="00490ECB" w:rsidRPr="00B04DA1">
              <w:rPr>
                <w:sz w:val="27"/>
                <w:szCs w:val="27"/>
              </w:rPr>
              <w:t>būvniecības ierosinātājs</w:t>
            </w:r>
            <w:r w:rsidR="00267083" w:rsidRPr="00B04DA1">
              <w:rPr>
                <w:sz w:val="27"/>
                <w:szCs w:val="27"/>
              </w:rPr>
              <w:t xml:space="preserve"> vēlas</w:t>
            </w:r>
            <w:r w:rsidRPr="00B04DA1">
              <w:rPr>
                <w:sz w:val="27"/>
                <w:szCs w:val="27"/>
              </w:rPr>
              <w:t xml:space="preserve"> nodod būvi ekspluatācijā. Turklāt neskaidrā kontrolējošo iestāžu kompetence kavē būvniecības </w:t>
            </w:r>
            <w:r w:rsidR="00DD20F3" w:rsidRPr="00B04DA1">
              <w:rPr>
                <w:sz w:val="27"/>
                <w:szCs w:val="27"/>
              </w:rPr>
              <w:t>procesu, piemēram, dažādi lēmumi</w:t>
            </w:r>
            <w:r w:rsidRPr="00B04DA1">
              <w:rPr>
                <w:sz w:val="27"/>
                <w:szCs w:val="27"/>
              </w:rPr>
              <w:t xml:space="preserve"> vienādos gadījumos;</w:t>
            </w:r>
          </w:p>
          <w:p w14:paraId="4274EA08" w14:textId="30FDA653" w:rsidR="004C6025" w:rsidRPr="00B04DA1" w:rsidRDefault="00FD5F92" w:rsidP="00FD5F92">
            <w:pPr>
              <w:jc w:val="both"/>
              <w:rPr>
                <w:sz w:val="27"/>
                <w:szCs w:val="27"/>
              </w:rPr>
            </w:pPr>
            <w:r w:rsidRPr="00B04DA1">
              <w:rPr>
                <w:sz w:val="27"/>
                <w:szCs w:val="27"/>
              </w:rPr>
              <w:t>g)</w:t>
            </w:r>
            <w:r w:rsidR="00267083" w:rsidRPr="00B04DA1">
              <w:rPr>
                <w:sz w:val="27"/>
                <w:szCs w:val="27"/>
              </w:rPr>
              <w:t> </w:t>
            </w:r>
            <w:r w:rsidR="007C69B6" w:rsidRPr="00B04DA1">
              <w:rPr>
                <w:sz w:val="27"/>
                <w:szCs w:val="27"/>
              </w:rPr>
              <w:t xml:space="preserve">nepietiekoša </w:t>
            </w:r>
            <w:r w:rsidRPr="00B04DA1">
              <w:rPr>
                <w:sz w:val="27"/>
                <w:szCs w:val="27"/>
              </w:rPr>
              <w:t xml:space="preserve">kontrolējošo institūciju </w:t>
            </w:r>
            <w:r w:rsidR="007C69B6" w:rsidRPr="00B04DA1">
              <w:rPr>
                <w:sz w:val="27"/>
                <w:szCs w:val="27"/>
              </w:rPr>
              <w:t xml:space="preserve">kompetence un </w:t>
            </w:r>
            <w:r w:rsidRPr="00B04DA1">
              <w:rPr>
                <w:sz w:val="27"/>
                <w:szCs w:val="27"/>
              </w:rPr>
              <w:t>nodrošinājums, piemēram, būvvald</w:t>
            </w:r>
            <w:r w:rsidR="00DD20F3" w:rsidRPr="00B04DA1">
              <w:rPr>
                <w:sz w:val="27"/>
                <w:szCs w:val="27"/>
              </w:rPr>
              <w:t>ē</w:t>
            </w:r>
            <w:r w:rsidRPr="00B04DA1">
              <w:rPr>
                <w:sz w:val="27"/>
                <w:szCs w:val="27"/>
              </w:rPr>
              <w:t xml:space="preserve">s jāstrādā vismaz vienam arhitektam un būvinspektoram. Neviens no šiem </w:t>
            </w:r>
            <w:r w:rsidR="00067E6B" w:rsidRPr="00B04DA1">
              <w:rPr>
                <w:sz w:val="27"/>
                <w:szCs w:val="27"/>
              </w:rPr>
              <w:t>speciālistiem</w:t>
            </w:r>
            <w:r w:rsidRPr="00B04DA1">
              <w:rPr>
                <w:sz w:val="27"/>
                <w:szCs w:val="27"/>
              </w:rPr>
              <w:t xml:space="preserve"> nevar viens pats pārzināt visas prasības visiem būvju veidiem, piemēram, biroja ēkas, hidroelektrostacijas, sporta trases. </w:t>
            </w:r>
            <w:r w:rsidR="00490ECB" w:rsidRPr="00B04DA1">
              <w:rPr>
                <w:sz w:val="27"/>
                <w:szCs w:val="27"/>
              </w:rPr>
              <w:t>Turklāt</w:t>
            </w:r>
            <w:r w:rsidRPr="00B04DA1">
              <w:rPr>
                <w:sz w:val="27"/>
                <w:szCs w:val="27"/>
              </w:rPr>
              <w:t xml:space="preserve"> vairākas pašvaldības ir informējušas, ka tās ilgstoši nevar nokomplektēt būvvaldes minimālo sastāvu – arhitekts un būvinspektors.</w:t>
            </w:r>
          </w:p>
          <w:p w14:paraId="1A4311BF" w14:textId="77777777" w:rsidR="004C6025" w:rsidRPr="00B04DA1" w:rsidRDefault="004C6025" w:rsidP="004C6025">
            <w:pPr>
              <w:jc w:val="both"/>
              <w:rPr>
                <w:sz w:val="27"/>
                <w:szCs w:val="27"/>
              </w:rPr>
            </w:pPr>
          </w:p>
          <w:p w14:paraId="1A0C81E3" w14:textId="5497CC08" w:rsidR="004C6025" w:rsidRPr="00B04DA1" w:rsidRDefault="00485567" w:rsidP="004C6025">
            <w:pPr>
              <w:jc w:val="both"/>
              <w:rPr>
                <w:sz w:val="27"/>
                <w:szCs w:val="27"/>
              </w:rPr>
            </w:pPr>
            <w:r w:rsidRPr="00B04DA1">
              <w:rPr>
                <w:sz w:val="27"/>
                <w:szCs w:val="27"/>
              </w:rPr>
              <w:t>[1] </w:t>
            </w:r>
            <w:r w:rsidR="00B028B6" w:rsidRPr="00B04DA1">
              <w:rPr>
                <w:sz w:val="27"/>
                <w:szCs w:val="27"/>
              </w:rPr>
              <w:t xml:space="preserve">Ņemot vērā iepriekš minēto, ar likumprojektu ir paredzēts, izteikt </w:t>
            </w:r>
            <w:r w:rsidR="00DD20F3" w:rsidRPr="00B04DA1">
              <w:rPr>
                <w:sz w:val="27"/>
                <w:szCs w:val="27"/>
              </w:rPr>
              <w:t>Būvniecības likuma</w:t>
            </w:r>
            <w:r w:rsidR="00B028B6" w:rsidRPr="00B04DA1">
              <w:rPr>
                <w:sz w:val="27"/>
                <w:szCs w:val="27"/>
              </w:rPr>
              <w:t xml:space="preserve"> 19.</w:t>
            </w:r>
            <w:r w:rsidR="00835885" w:rsidRPr="00B04DA1">
              <w:rPr>
                <w:sz w:val="27"/>
                <w:szCs w:val="27"/>
              </w:rPr>
              <w:t> </w:t>
            </w:r>
            <w:r w:rsidR="00B028B6" w:rsidRPr="00B04DA1">
              <w:rPr>
                <w:sz w:val="27"/>
                <w:szCs w:val="27"/>
              </w:rPr>
              <w:t>pantu jaunā redakcijā, kā arī papildināt šo likumu ar 19.</w:t>
            </w:r>
            <w:r w:rsidR="00B028B6" w:rsidRPr="00B04DA1">
              <w:rPr>
                <w:sz w:val="27"/>
                <w:szCs w:val="27"/>
                <w:vertAlign w:val="superscript"/>
              </w:rPr>
              <w:t>1</w:t>
            </w:r>
            <w:r w:rsidR="00B028B6" w:rsidRPr="00B04DA1">
              <w:rPr>
                <w:sz w:val="27"/>
                <w:szCs w:val="27"/>
              </w:rPr>
              <w:t>, 19.</w:t>
            </w:r>
            <w:r w:rsidR="00B028B6" w:rsidRPr="00B04DA1">
              <w:rPr>
                <w:sz w:val="27"/>
                <w:szCs w:val="27"/>
                <w:vertAlign w:val="superscript"/>
              </w:rPr>
              <w:t>2</w:t>
            </w:r>
            <w:r w:rsidR="00B028B6" w:rsidRPr="00B04DA1">
              <w:rPr>
                <w:sz w:val="27"/>
                <w:szCs w:val="27"/>
              </w:rPr>
              <w:t xml:space="preserve"> un 19.</w:t>
            </w:r>
            <w:r w:rsidR="00B028B6" w:rsidRPr="00B04DA1">
              <w:rPr>
                <w:sz w:val="27"/>
                <w:szCs w:val="27"/>
                <w:vertAlign w:val="superscript"/>
              </w:rPr>
              <w:t>3</w:t>
            </w:r>
            <w:r w:rsidR="00B028B6" w:rsidRPr="00B04DA1">
              <w:rPr>
                <w:sz w:val="27"/>
                <w:szCs w:val="27"/>
              </w:rPr>
              <w:t> pantu (sk. likumprojekta 11. un 12. pantu). Tiek nodalīts katra būvniecības procesa dalībnieka atbildība, proti, katrs dalībnieks atbild pa</w:t>
            </w:r>
            <w:r w:rsidR="00DD20F3" w:rsidRPr="00B04DA1">
              <w:rPr>
                <w:sz w:val="27"/>
                <w:szCs w:val="27"/>
              </w:rPr>
              <w:t>r savu būvniecības procesa daļu</w:t>
            </w:r>
            <w:r w:rsidR="00B028B6" w:rsidRPr="00B04DA1">
              <w:rPr>
                <w:sz w:val="27"/>
                <w:szCs w:val="27"/>
              </w:rPr>
              <w:t>. Vienlaikus, lai mazinātu strīdus situāciju, kurā viena būvniecības procesa posma dalībnieki ir spiesti pārbaudīt cita procesa dalībnieka veikto darbu atbilstību normatīvo aktu prasībām, tiek paredzēts, ka viņi var paļauties uz to, ka citi būvniecības procesa dalībnieki ir veikuši savus pienākum</w:t>
            </w:r>
            <w:r w:rsidR="00DD20F3" w:rsidRPr="00B04DA1">
              <w:rPr>
                <w:sz w:val="27"/>
                <w:szCs w:val="27"/>
              </w:rPr>
              <w:t>u</w:t>
            </w:r>
            <w:r w:rsidR="00B028B6" w:rsidRPr="00B04DA1">
              <w:rPr>
                <w:sz w:val="27"/>
                <w:szCs w:val="27"/>
              </w:rPr>
              <w:t xml:space="preserve">s atbilstoši (piemēram, </w:t>
            </w:r>
            <w:r w:rsidR="00B028B6" w:rsidRPr="00B04DA1">
              <w:rPr>
                <w:sz w:val="27"/>
                <w:szCs w:val="27"/>
              </w:rPr>
              <w:lastRenderedPageBreak/>
              <w:t>būvdarbu veicējs var paļauties, ka būvprojekta izstrādātājs ir veicis savus pienākums atbilstoši – būvniecības ieceres dokumentācija atbilst normatīvo aktu prasībām). Tomēr gadījumā, ja būvdarbu laikā atklājas, piemēram, ka nav ievērotas mehāniskās stiprības un stabilitāte prasības, būvdarbu veicējam ir jārīkojas tādējādi, lai novērstu iespējamo kaitējumu. Šī rīcība nav definēta un tā ir atkarīga no katra indi</w:t>
            </w:r>
            <w:r w:rsidR="00FE76F4" w:rsidRPr="00B04DA1">
              <w:rPr>
                <w:sz w:val="27"/>
                <w:szCs w:val="27"/>
              </w:rPr>
              <w:t>viduālā gadījuma</w:t>
            </w:r>
            <w:r w:rsidR="004F3AFB" w:rsidRPr="00B04DA1">
              <w:rPr>
                <w:sz w:val="27"/>
                <w:szCs w:val="27"/>
              </w:rPr>
              <w:t>. Būvniecības procesa dalībnieki nevar savu atbildību ar savstarpējiem saskaņojumiem pārcelt viens uz otru. Pa</w:t>
            </w:r>
            <w:r w:rsidR="008B2A86" w:rsidRPr="00B04DA1">
              <w:rPr>
                <w:sz w:val="27"/>
                <w:szCs w:val="27"/>
              </w:rPr>
              <w:t>r būvniecības ieceres atbilstošu</w:t>
            </w:r>
            <w:r w:rsidR="004F3AFB" w:rsidRPr="00B04DA1">
              <w:rPr>
                <w:sz w:val="27"/>
                <w:szCs w:val="27"/>
              </w:rPr>
              <w:t xml:space="preserve"> realizāciju ir atbildīgs būvdarbu veicējs.</w:t>
            </w:r>
          </w:p>
          <w:p w14:paraId="6CDFAF76" w14:textId="77777777" w:rsidR="004F3AFB" w:rsidRPr="00B04DA1" w:rsidRDefault="004F3AFB" w:rsidP="004C6025">
            <w:pPr>
              <w:jc w:val="both"/>
              <w:rPr>
                <w:sz w:val="27"/>
                <w:szCs w:val="27"/>
              </w:rPr>
            </w:pPr>
          </w:p>
          <w:p w14:paraId="5C5B4571" w14:textId="77777777" w:rsidR="004F3AFB" w:rsidRPr="00B04DA1" w:rsidRDefault="008B2A86" w:rsidP="004C6025">
            <w:pPr>
              <w:jc w:val="both"/>
              <w:rPr>
                <w:sz w:val="27"/>
                <w:szCs w:val="27"/>
              </w:rPr>
            </w:pPr>
            <w:r w:rsidRPr="00B04DA1">
              <w:rPr>
                <w:sz w:val="27"/>
                <w:szCs w:val="27"/>
              </w:rPr>
              <w:t>Būvniecības likuma 19., 19.</w:t>
            </w:r>
            <w:r w:rsidRPr="00B04DA1">
              <w:rPr>
                <w:sz w:val="27"/>
                <w:szCs w:val="27"/>
                <w:vertAlign w:val="superscript"/>
              </w:rPr>
              <w:t>1</w:t>
            </w:r>
            <w:r w:rsidRPr="00B04DA1">
              <w:rPr>
                <w:sz w:val="27"/>
                <w:szCs w:val="27"/>
              </w:rPr>
              <w:t>, 19.</w:t>
            </w:r>
            <w:r w:rsidRPr="00B04DA1">
              <w:rPr>
                <w:sz w:val="27"/>
                <w:szCs w:val="27"/>
                <w:vertAlign w:val="superscript"/>
              </w:rPr>
              <w:t>2</w:t>
            </w:r>
            <w:r w:rsidRPr="00B04DA1">
              <w:rPr>
                <w:sz w:val="27"/>
                <w:szCs w:val="27"/>
              </w:rPr>
              <w:t xml:space="preserve"> un 19.</w:t>
            </w:r>
            <w:r w:rsidRPr="00B04DA1">
              <w:rPr>
                <w:sz w:val="27"/>
                <w:szCs w:val="27"/>
                <w:vertAlign w:val="superscript"/>
              </w:rPr>
              <w:t>3</w:t>
            </w:r>
            <w:r w:rsidRPr="00B04DA1">
              <w:rPr>
                <w:sz w:val="27"/>
                <w:szCs w:val="27"/>
              </w:rPr>
              <w:t xml:space="preserve"> pantā </w:t>
            </w:r>
            <w:r w:rsidR="00DD20F3" w:rsidRPr="00B04DA1">
              <w:rPr>
                <w:sz w:val="27"/>
                <w:szCs w:val="27"/>
              </w:rPr>
              <w:t xml:space="preserve">tiek regulēta </w:t>
            </w:r>
            <w:r w:rsidRPr="00B04DA1">
              <w:rPr>
                <w:sz w:val="27"/>
                <w:szCs w:val="27"/>
              </w:rPr>
              <w:t xml:space="preserve">būvniecības procesa dalībnieku </w:t>
            </w:r>
            <w:r w:rsidR="00BE30B3" w:rsidRPr="00B04DA1">
              <w:rPr>
                <w:sz w:val="27"/>
                <w:szCs w:val="27"/>
              </w:rPr>
              <w:t>juridiskā</w:t>
            </w:r>
            <w:r w:rsidR="00DD20F3" w:rsidRPr="00B04DA1">
              <w:rPr>
                <w:sz w:val="27"/>
                <w:szCs w:val="27"/>
              </w:rPr>
              <w:t xml:space="preserve"> atbildība</w:t>
            </w:r>
            <w:r w:rsidRPr="00B04DA1">
              <w:rPr>
                <w:sz w:val="27"/>
                <w:szCs w:val="27"/>
              </w:rPr>
              <w:t xml:space="preserve">, kas tiek nodalīta no </w:t>
            </w:r>
            <w:proofErr w:type="spellStart"/>
            <w:r w:rsidRPr="00B04DA1">
              <w:rPr>
                <w:sz w:val="27"/>
                <w:szCs w:val="27"/>
              </w:rPr>
              <w:t>būvspeciālistu</w:t>
            </w:r>
            <w:proofErr w:type="spellEnd"/>
            <w:r w:rsidRPr="00B04DA1">
              <w:rPr>
                <w:sz w:val="27"/>
                <w:szCs w:val="27"/>
              </w:rPr>
              <w:t xml:space="preserve"> profesionālās atbildības. </w:t>
            </w:r>
            <w:r w:rsidR="00BE30B3" w:rsidRPr="00B04DA1">
              <w:rPr>
                <w:sz w:val="27"/>
                <w:szCs w:val="27"/>
              </w:rPr>
              <w:t xml:space="preserve">Būvniecības procesa dalībnieki savstarpēji atbild saskaņā ar noslēgtajiem līgumiem, savukārt </w:t>
            </w:r>
            <w:proofErr w:type="spellStart"/>
            <w:r w:rsidR="00BE30B3" w:rsidRPr="00B04DA1">
              <w:rPr>
                <w:sz w:val="27"/>
                <w:szCs w:val="27"/>
              </w:rPr>
              <w:t>būvspeciālisti</w:t>
            </w:r>
            <w:proofErr w:type="spellEnd"/>
            <w:r w:rsidR="00BE30B3" w:rsidRPr="00B04DA1">
              <w:rPr>
                <w:sz w:val="27"/>
                <w:szCs w:val="27"/>
              </w:rPr>
              <w:t xml:space="preserve"> atbild pret darba devēju, nevis tieši pret kādu no būvniecības procesa dalībniekiem.</w:t>
            </w:r>
          </w:p>
          <w:p w14:paraId="3483D864" w14:textId="77777777" w:rsidR="00BE30B3" w:rsidRPr="00B04DA1" w:rsidRDefault="00BE30B3" w:rsidP="004C6025">
            <w:pPr>
              <w:jc w:val="both"/>
              <w:rPr>
                <w:sz w:val="27"/>
                <w:szCs w:val="27"/>
              </w:rPr>
            </w:pPr>
          </w:p>
          <w:p w14:paraId="41115416" w14:textId="39A4245A" w:rsidR="00BE30B3" w:rsidRPr="00B04DA1" w:rsidRDefault="00BE30B3" w:rsidP="004C6025">
            <w:pPr>
              <w:jc w:val="both"/>
              <w:rPr>
                <w:sz w:val="27"/>
                <w:szCs w:val="27"/>
              </w:rPr>
            </w:pPr>
            <w:r w:rsidRPr="00B04DA1">
              <w:rPr>
                <w:sz w:val="27"/>
                <w:szCs w:val="27"/>
              </w:rPr>
              <w:t>Būvniecības ierosinātāja pienākumi, ņemot vēra to, ka tieši šī persona nolīgst visus pārējos būvniecības procesa dalībniekus, ir pārskatīti, nodrošinot trešo personu aizsardzību. Proti, trešajai personai zaudējumu gadījumā ir jāvēršas pret būvniecības ierosinātāj</w:t>
            </w:r>
            <w:r w:rsidR="00DD20F3" w:rsidRPr="00B04DA1">
              <w:rPr>
                <w:sz w:val="27"/>
                <w:szCs w:val="27"/>
              </w:rPr>
              <w:t>u – nav nepieciešams pierādīt</w:t>
            </w:r>
            <w:r w:rsidRPr="00B04DA1">
              <w:rPr>
                <w:sz w:val="27"/>
                <w:szCs w:val="27"/>
              </w:rPr>
              <w:t xml:space="preserve"> tieši kura būvniecības procesa dalībnieka vai</w:t>
            </w:r>
            <w:r w:rsidR="00DD20F3" w:rsidRPr="00B04DA1">
              <w:rPr>
                <w:sz w:val="27"/>
                <w:szCs w:val="27"/>
              </w:rPr>
              <w:t>nas dēļ ir iestājušies zaudējumi</w:t>
            </w:r>
            <w:r w:rsidRPr="00B04DA1">
              <w:rPr>
                <w:sz w:val="27"/>
                <w:szCs w:val="27"/>
              </w:rPr>
              <w:t>, bet tikai to, ka zaudējumi ir saistīti ar konkrēto objektu. Tas gan neattiecas uz personām, kuras ir no</w:t>
            </w:r>
            <w:r w:rsidR="00DD20F3" w:rsidRPr="00B04DA1">
              <w:rPr>
                <w:sz w:val="27"/>
                <w:szCs w:val="27"/>
              </w:rPr>
              <w:t>darbinātas vai darbojas objektā.</w:t>
            </w:r>
            <w:r w:rsidRPr="00B04DA1">
              <w:rPr>
                <w:sz w:val="27"/>
                <w:szCs w:val="27"/>
              </w:rPr>
              <w:t xml:space="preserve"> Šāda regulējuma mērķis ir novērst gadījumus, kad trešajai personai, piemēram, objektam blakus esošā nekustamā īpašum</w:t>
            </w:r>
            <w:r w:rsidR="00DD20F3" w:rsidRPr="00B04DA1">
              <w:rPr>
                <w:sz w:val="27"/>
                <w:szCs w:val="27"/>
              </w:rPr>
              <w:t>a īpašniekam, ir pienākums pašai pierādīt</w:t>
            </w:r>
            <w:r w:rsidRPr="00B04DA1">
              <w:rPr>
                <w:sz w:val="27"/>
                <w:szCs w:val="27"/>
              </w:rPr>
              <w:t xml:space="preserve"> kāda no būvniecības procesa dalībnieka v</w:t>
            </w:r>
            <w:r w:rsidR="00490ECB" w:rsidRPr="00B04DA1">
              <w:rPr>
                <w:sz w:val="27"/>
                <w:szCs w:val="27"/>
              </w:rPr>
              <w:t>aina</w:t>
            </w:r>
            <w:r w:rsidRPr="00B04DA1">
              <w:rPr>
                <w:sz w:val="27"/>
                <w:szCs w:val="27"/>
              </w:rPr>
              <w:t xml:space="preserve"> pie zaudējumiem, </w:t>
            </w:r>
            <w:r w:rsidR="00490ECB" w:rsidRPr="00B04DA1">
              <w:rPr>
                <w:sz w:val="27"/>
                <w:szCs w:val="27"/>
              </w:rPr>
              <w:t xml:space="preserve">piemēram, </w:t>
            </w:r>
            <w:r w:rsidRPr="00B04DA1">
              <w:rPr>
                <w:sz w:val="27"/>
                <w:szCs w:val="27"/>
              </w:rPr>
              <w:t>plaisas sienās. Vienlaikus būtu jāmin, ka šim regulējumam ir paredzēta vēlākā spēkā stāšanās, lai iesaistītās personas varētu atbilstoši sagatavoties šādam regulējumam</w:t>
            </w:r>
            <w:r w:rsidR="00253127" w:rsidRPr="00B04DA1">
              <w:rPr>
                <w:sz w:val="27"/>
                <w:szCs w:val="27"/>
              </w:rPr>
              <w:t xml:space="preserve"> (sk. likumprojekta 20</w:t>
            </w:r>
            <w:r w:rsidR="00F61C0B" w:rsidRPr="00B04DA1">
              <w:rPr>
                <w:sz w:val="27"/>
                <w:szCs w:val="27"/>
              </w:rPr>
              <w:t>. pantu)</w:t>
            </w:r>
            <w:r w:rsidRPr="00B04DA1">
              <w:rPr>
                <w:sz w:val="27"/>
                <w:szCs w:val="27"/>
              </w:rPr>
              <w:t xml:space="preserve">. Citi </w:t>
            </w:r>
            <w:r w:rsidRPr="00B04DA1">
              <w:rPr>
                <w:sz w:val="27"/>
                <w:szCs w:val="27"/>
              </w:rPr>
              <w:lastRenderedPageBreak/>
              <w:t>būvniecības ierosinātāja atbildības aspekti pēc būtības netiek mainīti, salīdzinot ar līdz</w:t>
            </w:r>
            <w:r w:rsidR="00490ECB" w:rsidRPr="00B04DA1">
              <w:rPr>
                <w:sz w:val="27"/>
                <w:szCs w:val="27"/>
              </w:rPr>
              <w:t>šinējo regulējumu.</w:t>
            </w:r>
          </w:p>
          <w:p w14:paraId="50D3AF13" w14:textId="77777777" w:rsidR="008C4958" w:rsidRPr="00B04DA1" w:rsidRDefault="008C4958" w:rsidP="004C6025">
            <w:pPr>
              <w:jc w:val="both"/>
              <w:rPr>
                <w:sz w:val="27"/>
                <w:szCs w:val="27"/>
              </w:rPr>
            </w:pPr>
          </w:p>
          <w:p w14:paraId="3D403671" w14:textId="77777777" w:rsidR="0090030A" w:rsidRPr="00B04DA1" w:rsidRDefault="008C4958" w:rsidP="004C6025">
            <w:pPr>
              <w:jc w:val="both"/>
              <w:rPr>
                <w:sz w:val="27"/>
                <w:szCs w:val="27"/>
              </w:rPr>
            </w:pPr>
            <w:r w:rsidRPr="00B04DA1">
              <w:rPr>
                <w:sz w:val="27"/>
                <w:szCs w:val="27"/>
              </w:rPr>
              <w:t xml:space="preserve">Būvniecības ieceres izstrādātāja atbildība ir konkretizēta paredzot, ka </w:t>
            </w:r>
            <w:r w:rsidR="00490ECB" w:rsidRPr="00B04DA1">
              <w:rPr>
                <w:sz w:val="27"/>
                <w:szCs w:val="27"/>
              </w:rPr>
              <w:t>viņš</w:t>
            </w:r>
            <w:r w:rsidRPr="00B04DA1">
              <w:rPr>
                <w:sz w:val="27"/>
                <w:szCs w:val="27"/>
              </w:rPr>
              <w:t xml:space="preserve"> ir atbildīgs par visu nepieciešamo izpēti, lai būtu iespējams sagatavot atbilstošu būvniecības ieceres dokumentāciju. </w:t>
            </w:r>
            <w:r w:rsidR="00490ECB" w:rsidRPr="00B04DA1">
              <w:rPr>
                <w:sz w:val="27"/>
                <w:szCs w:val="27"/>
              </w:rPr>
              <w:t>Vienlaikus</w:t>
            </w:r>
            <w:r w:rsidRPr="00B04DA1">
              <w:rPr>
                <w:sz w:val="27"/>
                <w:szCs w:val="27"/>
              </w:rPr>
              <w:t xml:space="preserve"> tiek </w:t>
            </w:r>
            <w:r w:rsidR="00490ECB" w:rsidRPr="00B04DA1">
              <w:rPr>
                <w:sz w:val="27"/>
                <w:szCs w:val="27"/>
              </w:rPr>
              <w:t>paredzēts</w:t>
            </w:r>
            <w:r w:rsidRPr="00B04DA1">
              <w:rPr>
                <w:sz w:val="27"/>
                <w:szCs w:val="27"/>
              </w:rPr>
              <w:t xml:space="preserve"> izslēgt Būvniecības likuma 16.</w:t>
            </w:r>
            <w:r w:rsidR="00490ECB" w:rsidRPr="00B04DA1">
              <w:rPr>
                <w:sz w:val="27"/>
                <w:szCs w:val="27"/>
              </w:rPr>
              <w:t> </w:t>
            </w:r>
            <w:r w:rsidRPr="00B04DA1">
              <w:rPr>
                <w:sz w:val="27"/>
                <w:szCs w:val="27"/>
              </w:rPr>
              <w:t xml:space="preserve">panta otrajā daļā ietverto dublējošo atbildības tiesību normu. </w:t>
            </w:r>
          </w:p>
          <w:p w14:paraId="08EFAA53" w14:textId="77777777" w:rsidR="0090030A" w:rsidRPr="00B04DA1" w:rsidRDefault="0090030A" w:rsidP="004C6025">
            <w:pPr>
              <w:jc w:val="both"/>
              <w:rPr>
                <w:sz w:val="27"/>
                <w:szCs w:val="27"/>
              </w:rPr>
            </w:pPr>
          </w:p>
          <w:p w14:paraId="63F058FF" w14:textId="33DDF9B5" w:rsidR="008C4958" w:rsidRPr="00B04DA1" w:rsidRDefault="0090030A" w:rsidP="004C6025">
            <w:pPr>
              <w:jc w:val="both"/>
              <w:rPr>
                <w:sz w:val="27"/>
                <w:szCs w:val="27"/>
              </w:rPr>
            </w:pPr>
            <w:r w:rsidRPr="00B04DA1">
              <w:rPr>
                <w:sz w:val="27"/>
                <w:szCs w:val="27"/>
              </w:rPr>
              <w:t>B</w:t>
            </w:r>
            <w:r w:rsidR="008C4958" w:rsidRPr="00B04DA1">
              <w:rPr>
                <w:sz w:val="27"/>
                <w:szCs w:val="27"/>
              </w:rPr>
              <w:t xml:space="preserve">ūvdarbu veicēja </w:t>
            </w:r>
            <w:r w:rsidR="00490ECB" w:rsidRPr="00B04DA1">
              <w:rPr>
                <w:sz w:val="27"/>
                <w:szCs w:val="27"/>
              </w:rPr>
              <w:t>atbildība</w:t>
            </w:r>
            <w:r w:rsidR="008C4958" w:rsidRPr="00B04DA1">
              <w:rPr>
                <w:sz w:val="27"/>
                <w:szCs w:val="27"/>
              </w:rPr>
              <w:t xml:space="preserve"> tiek paredzēta par atbilstošu būvniecības ieceres </w:t>
            </w:r>
            <w:r w:rsidR="00490ECB" w:rsidRPr="00B04DA1">
              <w:rPr>
                <w:sz w:val="27"/>
                <w:szCs w:val="27"/>
              </w:rPr>
              <w:t>dokumentos ietverto risinājumu</w:t>
            </w:r>
            <w:r w:rsidR="008C4958" w:rsidRPr="00B04DA1">
              <w:rPr>
                <w:sz w:val="27"/>
                <w:szCs w:val="27"/>
              </w:rPr>
              <w:t xml:space="preserve"> realizāciju, tai </w:t>
            </w:r>
            <w:r w:rsidR="00490ECB" w:rsidRPr="00B04DA1">
              <w:rPr>
                <w:sz w:val="27"/>
                <w:szCs w:val="27"/>
              </w:rPr>
              <w:t>skaitā</w:t>
            </w:r>
            <w:r w:rsidR="008C4958" w:rsidRPr="00B04DA1">
              <w:rPr>
                <w:sz w:val="27"/>
                <w:szCs w:val="27"/>
              </w:rPr>
              <w:t xml:space="preserve"> par atbilstošu </w:t>
            </w:r>
            <w:r w:rsidR="00490ECB" w:rsidRPr="00B04DA1">
              <w:rPr>
                <w:sz w:val="27"/>
                <w:szCs w:val="27"/>
              </w:rPr>
              <w:t>būvizstrādājumu</w:t>
            </w:r>
            <w:r w:rsidR="008C4958" w:rsidRPr="00B04DA1">
              <w:rPr>
                <w:sz w:val="27"/>
                <w:szCs w:val="27"/>
              </w:rPr>
              <w:t xml:space="preserve"> un tehnoloģijas izmantošanu. Būvdarbu veicējam nav jāpārvērtē būvniecības iecer</w:t>
            </w:r>
            <w:r w:rsidR="00835885" w:rsidRPr="00B04DA1">
              <w:rPr>
                <w:sz w:val="27"/>
                <w:szCs w:val="27"/>
              </w:rPr>
              <w:t>es dokumentos dotie risinājumi.</w:t>
            </w:r>
          </w:p>
          <w:p w14:paraId="16931A76" w14:textId="77777777" w:rsidR="008C4958" w:rsidRPr="00B04DA1" w:rsidRDefault="008C4958" w:rsidP="004C6025">
            <w:pPr>
              <w:jc w:val="both"/>
              <w:rPr>
                <w:sz w:val="27"/>
                <w:szCs w:val="27"/>
              </w:rPr>
            </w:pPr>
          </w:p>
          <w:p w14:paraId="246AE2F5" w14:textId="0475FD99" w:rsidR="008C4958" w:rsidRPr="00B04DA1" w:rsidRDefault="008C4958" w:rsidP="004C6025">
            <w:pPr>
              <w:jc w:val="both"/>
              <w:rPr>
                <w:sz w:val="27"/>
                <w:szCs w:val="27"/>
              </w:rPr>
            </w:pPr>
            <w:r w:rsidRPr="00B04DA1">
              <w:rPr>
                <w:sz w:val="27"/>
                <w:szCs w:val="27"/>
              </w:rPr>
              <w:t xml:space="preserve">Tāpat ir pārskatīta būvuzraudzības veicēja loma būvniecības procesa – tiek </w:t>
            </w:r>
            <w:r w:rsidR="00490ECB" w:rsidRPr="00B04DA1">
              <w:rPr>
                <w:sz w:val="27"/>
                <w:szCs w:val="27"/>
              </w:rPr>
              <w:t>paredzēts</w:t>
            </w:r>
            <w:r w:rsidRPr="00B04DA1">
              <w:rPr>
                <w:sz w:val="27"/>
                <w:szCs w:val="27"/>
              </w:rPr>
              <w:t xml:space="preserve">, ka būvuzraugu, ja puses par to būs vienojušās varēs piesaistīt uz visu būvniecības procesu, nevis tikai uz būvdarbu laiku, lai atbilstoši nodrošinātu būvniecības ierosinātāja interešu </w:t>
            </w:r>
            <w:r w:rsidR="00490ECB" w:rsidRPr="00B04DA1">
              <w:rPr>
                <w:sz w:val="27"/>
                <w:szCs w:val="27"/>
              </w:rPr>
              <w:t>pārstāvniecību</w:t>
            </w:r>
            <w:r w:rsidRPr="00B04DA1">
              <w:rPr>
                <w:sz w:val="27"/>
                <w:szCs w:val="27"/>
              </w:rPr>
              <w:t xml:space="preserve">. Šāds regulējums ir </w:t>
            </w:r>
            <w:r w:rsidR="00835885" w:rsidRPr="00B04DA1">
              <w:rPr>
                <w:sz w:val="27"/>
                <w:szCs w:val="27"/>
              </w:rPr>
              <w:t xml:space="preserve">izstrādāts, ņemot vērā </w:t>
            </w:r>
            <w:r w:rsidR="00490ECB" w:rsidRPr="00B04DA1">
              <w:rPr>
                <w:sz w:val="27"/>
                <w:szCs w:val="27"/>
              </w:rPr>
              <w:t>FIDIC (</w:t>
            </w:r>
            <w:proofErr w:type="spellStart"/>
            <w:r w:rsidR="00490ECB" w:rsidRPr="00B04DA1">
              <w:rPr>
                <w:i/>
                <w:sz w:val="27"/>
                <w:szCs w:val="27"/>
              </w:rPr>
              <w:t>Fédération</w:t>
            </w:r>
            <w:proofErr w:type="spellEnd"/>
            <w:r w:rsidR="00490ECB" w:rsidRPr="00B04DA1">
              <w:rPr>
                <w:i/>
                <w:sz w:val="27"/>
                <w:szCs w:val="27"/>
              </w:rPr>
              <w:t xml:space="preserve"> </w:t>
            </w:r>
            <w:proofErr w:type="spellStart"/>
            <w:r w:rsidR="00490ECB" w:rsidRPr="00B04DA1">
              <w:rPr>
                <w:i/>
                <w:sz w:val="27"/>
                <w:szCs w:val="27"/>
              </w:rPr>
              <w:t>Internationale</w:t>
            </w:r>
            <w:proofErr w:type="spellEnd"/>
            <w:r w:rsidR="00490ECB" w:rsidRPr="00B04DA1">
              <w:rPr>
                <w:i/>
                <w:sz w:val="27"/>
                <w:szCs w:val="27"/>
              </w:rPr>
              <w:t xml:space="preserve"> </w:t>
            </w:r>
            <w:proofErr w:type="spellStart"/>
            <w:r w:rsidR="00490ECB" w:rsidRPr="00B04DA1">
              <w:rPr>
                <w:i/>
                <w:sz w:val="27"/>
                <w:szCs w:val="27"/>
              </w:rPr>
              <w:t>Des</w:t>
            </w:r>
            <w:proofErr w:type="spellEnd"/>
            <w:r w:rsidR="00490ECB" w:rsidRPr="00B04DA1">
              <w:rPr>
                <w:i/>
                <w:sz w:val="27"/>
                <w:szCs w:val="27"/>
              </w:rPr>
              <w:t xml:space="preserve"> </w:t>
            </w:r>
            <w:proofErr w:type="spellStart"/>
            <w:r w:rsidR="00490ECB" w:rsidRPr="00B04DA1">
              <w:rPr>
                <w:i/>
                <w:sz w:val="27"/>
                <w:szCs w:val="27"/>
              </w:rPr>
              <w:t>Ingénieurs-Conseils</w:t>
            </w:r>
            <w:proofErr w:type="spellEnd"/>
            <w:r w:rsidR="00490ECB" w:rsidRPr="00B04DA1">
              <w:rPr>
                <w:sz w:val="27"/>
                <w:szCs w:val="27"/>
              </w:rPr>
              <w:t xml:space="preserve">) </w:t>
            </w:r>
            <w:r w:rsidRPr="00B04DA1">
              <w:rPr>
                <w:sz w:val="27"/>
                <w:szCs w:val="27"/>
              </w:rPr>
              <w:t>tipveida līgum</w:t>
            </w:r>
            <w:r w:rsidR="00835885" w:rsidRPr="00B04DA1">
              <w:rPr>
                <w:sz w:val="27"/>
                <w:szCs w:val="27"/>
              </w:rPr>
              <w:t>u nosacījumus</w:t>
            </w:r>
            <w:r w:rsidRPr="00B04DA1">
              <w:rPr>
                <w:sz w:val="27"/>
                <w:szCs w:val="27"/>
              </w:rPr>
              <w:t>, kuros būvniecības ierosinātājs jau pašā būvniecības procesa sākumā piesaista kā</w:t>
            </w:r>
            <w:r w:rsidR="00DD20F3" w:rsidRPr="00B04DA1">
              <w:rPr>
                <w:sz w:val="27"/>
                <w:szCs w:val="27"/>
              </w:rPr>
              <w:t xml:space="preserve"> savu likumīgu interešu pārstāvi</w:t>
            </w:r>
            <w:r w:rsidRPr="00B04DA1">
              <w:rPr>
                <w:sz w:val="27"/>
                <w:szCs w:val="27"/>
              </w:rPr>
              <w:t xml:space="preserve"> personu ar </w:t>
            </w:r>
            <w:r w:rsidR="00490ECB" w:rsidRPr="00B04DA1">
              <w:rPr>
                <w:sz w:val="27"/>
                <w:szCs w:val="27"/>
              </w:rPr>
              <w:t>noteiktu</w:t>
            </w:r>
            <w:r w:rsidRPr="00B04DA1">
              <w:rPr>
                <w:sz w:val="27"/>
                <w:szCs w:val="27"/>
              </w:rPr>
              <w:t xml:space="preserve"> kvalifikāciju</w:t>
            </w:r>
            <w:r w:rsidR="00490ECB" w:rsidRPr="00B04DA1">
              <w:rPr>
                <w:sz w:val="27"/>
                <w:szCs w:val="27"/>
              </w:rPr>
              <w:t xml:space="preserve"> (inženieri)</w:t>
            </w:r>
            <w:r w:rsidRPr="00B04DA1">
              <w:rPr>
                <w:sz w:val="27"/>
                <w:szCs w:val="27"/>
              </w:rPr>
              <w:t xml:space="preserve">. </w:t>
            </w:r>
            <w:r w:rsidR="00E52D43" w:rsidRPr="00B04DA1">
              <w:rPr>
                <w:sz w:val="27"/>
                <w:szCs w:val="27"/>
              </w:rPr>
              <w:t>T</w:t>
            </w:r>
            <w:r w:rsidRPr="00B04DA1">
              <w:rPr>
                <w:sz w:val="27"/>
                <w:szCs w:val="27"/>
              </w:rPr>
              <w:t xml:space="preserve">as nekādā veidā neliedz būvniecības ierosinātājam izvēlēties arī citu nekvalificēto personu savu </w:t>
            </w:r>
            <w:r w:rsidR="00490ECB" w:rsidRPr="00B04DA1">
              <w:rPr>
                <w:sz w:val="27"/>
                <w:szCs w:val="27"/>
              </w:rPr>
              <w:t>interešu</w:t>
            </w:r>
            <w:r w:rsidRPr="00B04DA1">
              <w:rPr>
                <w:sz w:val="27"/>
                <w:szCs w:val="27"/>
              </w:rPr>
              <w:t xml:space="preserve"> pārstāvībai. Obligātie būvuzraudzības gadījumi </w:t>
            </w:r>
            <w:r w:rsidR="00490ECB" w:rsidRPr="00B04DA1">
              <w:rPr>
                <w:sz w:val="27"/>
                <w:szCs w:val="27"/>
              </w:rPr>
              <w:t xml:space="preserve">būvdarbu laikā </w:t>
            </w:r>
            <w:r w:rsidRPr="00B04DA1">
              <w:rPr>
                <w:sz w:val="27"/>
                <w:szCs w:val="27"/>
              </w:rPr>
              <w:t>ir no</w:t>
            </w:r>
            <w:r w:rsidR="00DD20F3" w:rsidRPr="00B04DA1">
              <w:rPr>
                <w:sz w:val="27"/>
                <w:szCs w:val="27"/>
              </w:rPr>
              <w:t>teikti vispārīgajos būvnoteikumo</w:t>
            </w:r>
            <w:r w:rsidRPr="00B04DA1">
              <w:rPr>
                <w:sz w:val="27"/>
                <w:szCs w:val="27"/>
              </w:rPr>
              <w:t>s, n</w:t>
            </w:r>
            <w:r w:rsidR="00490ECB" w:rsidRPr="00B04DA1">
              <w:rPr>
                <w:sz w:val="27"/>
                <w:szCs w:val="27"/>
              </w:rPr>
              <w:t>evis Būvniecības likumā.</w:t>
            </w:r>
          </w:p>
          <w:p w14:paraId="33918C6C" w14:textId="77777777" w:rsidR="008C4958" w:rsidRPr="00B04DA1" w:rsidRDefault="008C4958" w:rsidP="004C6025">
            <w:pPr>
              <w:jc w:val="both"/>
              <w:rPr>
                <w:sz w:val="27"/>
                <w:szCs w:val="27"/>
              </w:rPr>
            </w:pPr>
          </w:p>
          <w:p w14:paraId="71C4E6A5" w14:textId="5E333B75" w:rsidR="008C4958" w:rsidRPr="00B04DA1" w:rsidRDefault="008C4958" w:rsidP="004C6025">
            <w:pPr>
              <w:jc w:val="both"/>
              <w:rPr>
                <w:sz w:val="27"/>
                <w:szCs w:val="27"/>
              </w:rPr>
            </w:pPr>
            <w:r w:rsidRPr="00B04DA1">
              <w:rPr>
                <w:sz w:val="27"/>
                <w:szCs w:val="27"/>
              </w:rPr>
              <w:t xml:space="preserve">Lai nošķirtu būvuzraugu kā </w:t>
            </w:r>
            <w:r w:rsidR="00490ECB" w:rsidRPr="00B04DA1">
              <w:rPr>
                <w:sz w:val="27"/>
                <w:szCs w:val="27"/>
              </w:rPr>
              <w:t>līgumslēdzēju</w:t>
            </w:r>
            <w:r w:rsidRPr="00B04DA1">
              <w:rPr>
                <w:sz w:val="27"/>
                <w:szCs w:val="27"/>
              </w:rPr>
              <w:t xml:space="preserve"> no </w:t>
            </w:r>
            <w:proofErr w:type="spellStart"/>
            <w:r w:rsidR="00490ECB" w:rsidRPr="00B04DA1">
              <w:rPr>
                <w:sz w:val="27"/>
                <w:szCs w:val="27"/>
              </w:rPr>
              <w:t>būvspeciālista</w:t>
            </w:r>
            <w:proofErr w:type="spellEnd"/>
            <w:r w:rsidR="00490ECB" w:rsidRPr="00B04DA1">
              <w:rPr>
                <w:sz w:val="27"/>
                <w:szCs w:val="27"/>
              </w:rPr>
              <w:t xml:space="preserve"> </w:t>
            </w:r>
            <w:r w:rsidRPr="00B04DA1">
              <w:rPr>
                <w:sz w:val="27"/>
                <w:szCs w:val="27"/>
              </w:rPr>
              <w:t xml:space="preserve">kā </w:t>
            </w:r>
            <w:r w:rsidR="00490ECB" w:rsidRPr="00B04DA1">
              <w:rPr>
                <w:sz w:val="27"/>
                <w:szCs w:val="27"/>
              </w:rPr>
              <w:t>izpildītāj</w:t>
            </w:r>
            <w:r w:rsidR="00DD20F3" w:rsidRPr="00B04DA1">
              <w:rPr>
                <w:sz w:val="27"/>
                <w:szCs w:val="27"/>
              </w:rPr>
              <w:t>a</w:t>
            </w:r>
            <w:r w:rsidR="00490ECB" w:rsidRPr="00B04DA1">
              <w:rPr>
                <w:sz w:val="27"/>
                <w:szCs w:val="27"/>
              </w:rPr>
              <w:t>,</w:t>
            </w:r>
            <w:r w:rsidRPr="00B04DA1">
              <w:rPr>
                <w:sz w:val="27"/>
                <w:szCs w:val="27"/>
              </w:rPr>
              <w:t xml:space="preserve"> ir ieviests jauns </w:t>
            </w:r>
            <w:r w:rsidR="00DD20F3" w:rsidRPr="00B04DA1">
              <w:rPr>
                <w:sz w:val="27"/>
                <w:szCs w:val="27"/>
              </w:rPr>
              <w:t>termins</w:t>
            </w:r>
            <w:r w:rsidRPr="00B04DA1">
              <w:rPr>
                <w:sz w:val="27"/>
                <w:szCs w:val="27"/>
              </w:rPr>
              <w:t xml:space="preserve"> </w:t>
            </w:r>
            <w:r w:rsidR="00DD20F3" w:rsidRPr="00B04DA1">
              <w:rPr>
                <w:sz w:val="27"/>
                <w:szCs w:val="27"/>
              </w:rPr>
              <w:t>„</w:t>
            </w:r>
            <w:r w:rsidR="00490ECB" w:rsidRPr="00B04DA1">
              <w:rPr>
                <w:sz w:val="27"/>
                <w:szCs w:val="27"/>
              </w:rPr>
              <w:t>būvuzraudzības</w:t>
            </w:r>
            <w:r w:rsidRPr="00B04DA1">
              <w:rPr>
                <w:sz w:val="27"/>
                <w:szCs w:val="27"/>
              </w:rPr>
              <w:t xml:space="preserve"> veicējs</w:t>
            </w:r>
            <w:r w:rsidR="00DD20F3" w:rsidRPr="00B04DA1">
              <w:rPr>
                <w:sz w:val="27"/>
                <w:szCs w:val="27"/>
              </w:rPr>
              <w:t>”</w:t>
            </w:r>
            <w:r w:rsidRPr="00B04DA1">
              <w:rPr>
                <w:sz w:val="27"/>
                <w:szCs w:val="27"/>
              </w:rPr>
              <w:t xml:space="preserve">. Tas </w:t>
            </w:r>
            <w:r w:rsidR="00105029" w:rsidRPr="00B04DA1">
              <w:rPr>
                <w:sz w:val="27"/>
                <w:szCs w:val="27"/>
              </w:rPr>
              <w:t xml:space="preserve">attiecas </w:t>
            </w:r>
            <w:r w:rsidRPr="00B04DA1">
              <w:rPr>
                <w:sz w:val="27"/>
                <w:szCs w:val="27"/>
              </w:rPr>
              <w:t xml:space="preserve">arī uz </w:t>
            </w:r>
            <w:r w:rsidR="00490ECB" w:rsidRPr="00B04DA1">
              <w:rPr>
                <w:sz w:val="27"/>
                <w:szCs w:val="27"/>
              </w:rPr>
              <w:t>būvekspertīzes veicēju</w:t>
            </w:r>
            <w:r w:rsidRPr="00B04DA1">
              <w:rPr>
                <w:sz w:val="27"/>
                <w:szCs w:val="27"/>
              </w:rPr>
              <w:t xml:space="preserve">. </w:t>
            </w:r>
            <w:r w:rsidR="00E52D43" w:rsidRPr="00B04DA1">
              <w:rPr>
                <w:sz w:val="27"/>
                <w:szCs w:val="27"/>
              </w:rPr>
              <w:t>B</w:t>
            </w:r>
            <w:r w:rsidR="00181AF7" w:rsidRPr="00B04DA1">
              <w:rPr>
                <w:sz w:val="27"/>
                <w:szCs w:val="27"/>
              </w:rPr>
              <w:t>ūvekspertīzes veicēj</w:t>
            </w:r>
            <w:r w:rsidRPr="00B04DA1">
              <w:rPr>
                <w:sz w:val="27"/>
                <w:szCs w:val="27"/>
              </w:rPr>
              <w:t xml:space="preserve">s atbildīt par sava </w:t>
            </w:r>
            <w:r w:rsidR="00BC6BA8" w:rsidRPr="00B04DA1">
              <w:rPr>
                <w:sz w:val="27"/>
                <w:szCs w:val="27"/>
              </w:rPr>
              <w:t xml:space="preserve">ekspertīzes </w:t>
            </w:r>
            <w:r w:rsidR="00F37A4B" w:rsidRPr="00B04DA1">
              <w:rPr>
                <w:sz w:val="27"/>
                <w:szCs w:val="27"/>
              </w:rPr>
              <w:t>atzinum</w:t>
            </w:r>
            <w:r w:rsidR="00BC6BA8" w:rsidRPr="00B04DA1">
              <w:rPr>
                <w:sz w:val="27"/>
                <w:szCs w:val="27"/>
              </w:rPr>
              <w:t>a</w:t>
            </w:r>
            <w:r w:rsidR="00F37A4B" w:rsidRPr="00B04DA1">
              <w:rPr>
                <w:sz w:val="27"/>
                <w:szCs w:val="27"/>
              </w:rPr>
              <w:t xml:space="preserve"> saturu un </w:t>
            </w:r>
            <w:r w:rsidR="00BC6BA8" w:rsidRPr="00B04DA1">
              <w:rPr>
                <w:sz w:val="27"/>
                <w:szCs w:val="27"/>
              </w:rPr>
              <w:t>secinājumu pamatotību</w:t>
            </w:r>
            <w:r w:rsidR="00F37A4B" w:rsidRPr="00B04DA1">
              <w:rPr>
                <w:sz w:val="27"/>
                <w:szCs w:val="27"/>
              </w:rPr>
              <w:t xml:space="preserve">. </w:t>
            </w:r>
            <w:r w:rsidR="00E52D43" w:rsidRPr="00B04DA1">
              <w:rPr>
                <w:sz w:val="27"/>
                <w:szCs w:val="27"/>
              </w:rPr>
              <w:t>T</w:t>
            </w:r>
            <w:r w:rsidR="00F37A4B" w:rsidRPr="00B04DA1">
              <w:rPr>
                <w:sz w:val="27"/>
                <w:szCs w:val="27"/>
              </w:rPr>
              <w:t xml:space="preserve">as ir saistīs ar </w:t>
            </w:r>
            <w:r w:rsidR="00F37A4B" w:rsidRPr="00B04DA1">
              <w:rPr>
                <w:sz w:val="27"/>
                <w:szCs w:val="27"/>
              </w:rPr>
              <w:lastRenderedPageBreak/>
              <w:t>to, ka var būt da</w:t>
            </w:r>
            <w:r w:rsidR="00BC6BA8" w:rsidRPr="00B04DA1">
              <w:rPr>
                <w:sz w:val="27"/>
                <w:szCs w:val="27"/>
              </w:rPr>
              <w:t>žādi</w:t>
            </w:r>
            <w:r w:rsidR="00F37A4B" w:rsidRPr="00B04DA1">
              <w:rPr>
                <w:sz w:val="27"/>
                <w:szCs w:val="27"/>
              </w:rPr>
              <w:t xml:space="preserve"> </w:t>
            </w:r>
            <w:r w:rsidR="00BC6BA8" w:rsidRPr="00B04DA1">
              <w:rPr>
                <w:sz w:val="27"/>
                <w:szCs w:val="27"/>
              </w:rPr>
              <w:t xml:space="preserve">būvekspertīzes </w:t>
            </w:r>
            <w:r w:rsidR="00105029" w:rsidRPr="00B04DA1">
              <w:rPr>
                <w:sz w:val="27"/>
                <w:szCs w:val="27"/>
              </w:rPr>
              <w:t xml:space="preserve">uzdevumi </w:t>
            </w:r>
            <w:r w:rsidR="00F37A4B" w:rsidRPr="00B04DA1">
              <w:rPr>
                <w:sz w:val="27"/>
                <w:szCs w:val="27"/>
              </w:rPr>
              <w:t>– ne</w:t>
            </w:r>
            <w:r w:rsidR="00BC6BA8" w:rsidRPr="00B04DA1">
              <w:rPr>
                <w:sz w:val="27"/>
                <w:szCs w:val="27"/>
              </w:rPr>
              <w:t xml:space="preserve"> </w:t>
            </w:r>
            <w:r w:rsidR="00F37A4B" w:rsidRPr="00B04DA1">
              <w:rPr>
                <w:sz w:val="27"/>
                <w:szCs w:val="27"/>
              </w:rPr>
              <w:t>vi</w:t>
            </w:r>
            <w:r w:rsidR="00BC6BA8" w:rsidRPr="00B04DA1">
              <w:rPr>
                <w:sz w:val="27"/>
                <w:szCs w:val="27"/>
              </w:rPr>
              <w:t>sos</w:t>
            </w:r>
            <w:r w:rsidR="00F37A4B" w:rsidRPr="00B04DA1">
              <w:rPr>
                <w:sz w:val="27"/>
                <w:szCs w:val="27"/>
              </w:rPr>
              <w:t xml:space="preserve"> gadījum</w:t>
            </w:r>
            <w:r w:rsidR="00105029" w:rsidRPr="00B04DA1">
              <w:rPr>
                <w:sz w:val="27"/>
                <w:szCs w:val="27"/>
              </w:rPr>
              <w:t>o</w:t>
            </w:r>
            <w:r w:rsidR="00F37A4B" w:rsidRPr="00B04DA1">
              <w:rPr>
                <w:sz w:val="27"/>
                <w:szCs w:val="27"/>
              </w:rPr>
              <w:t xml:space="preserve">s </w:t>
            </w:r>
            <w:r w:rsidR="00BC6BA8" w:rsidRPr="00B04DA1">
              <w:rPr>
                <w:sz w:val="27"/>
                <w:szCs w:val="27"/>
              </w:rPr>
              <w:t>būvekspertīzes veicēja</w:t>
            </w:r>
            <w:r w:rsidR="00F37A4B" w:rsidRPr="00B04DA1">
              <w:rPr>
                <w:sz w:val="27"/>
                <w:szCs w:val="27"/>
              </w:rPr>
              <w:t xml:space="preserve"> uzdevums ir pārbaudīt visu</w:t>
            </w:r>
            <w:r w:rsidR="00BC6BA8" w:rsidRPr="00B04DA1">
              <w:rPr>
                <w:sz w:val="27"/>
                <w:szCs w:val="27"/>
              </w:rPr>
              <w:t>s</w:t>
            </w:r>
            <w:r w:rsidR="00F37A4B" w:rsidRPr="00B04DA1">
              <w:rPr>
                <w:sz w:val="27"/>
                <w:szCs w:val="27"/>
              </w:rPr>
              <w:t xml:space="preserve"> būvniecības </w:t>
            </w:r>
            <w:r w:rsidR="00BC6BA8" w:rsidRPr="00B04DA1">
              <w:rPr>
                <w:sz w:val="27"/>
                <w:szCs w:val="27"/>
              </w:rPr>
              <w:t xml:space="preserve">ieceres </w:t>
            </w:r>
            <w:r w:rsidR="00F37A4B" w:rsidRPr="00B04DA1">
              <w:rPr>
                <w:sz w:val="27"/>
                <w:szCs w:val="27"/>
              </w:rPr>
              <w:t>dokument</w:t>
            </w:r>
            <w:r w:rsidR="00BC6BA8" w:rsidRPr="00B04DA1">
              <w:rPr>
                <w:sz w:val="27"/>
                <w:szCs w:val="27"/>
              </w:rPr>
              <w:t>us</w:t>
            </w:r>
            <w:r w:rsidR="00F37A4B" w:rsidRPr="00B04DA1">
              <w:rPr>
                <w:sz w:val="27"/>
                <w:szCs w:val="27"/>
              </w:rPr>
              <w:t xml:space="preserve"> vai būvi.</w:t>
            </w:r>
          </w:p>
          <w:p w14:paraId="29D138DC" w14:textId="77777777" w:rsidR="00F37A4B" w:rsidRPr="00B04DA1" w:rsidRDefault="00F37A4B" w:rsidP="004C6025">
            <w:pPr>
              <w:jc w:val="both"/>
              <w:rPr>
                <w:sz w:val="27"/>
                <w:szCs w:val="27"/>
              </w:rPr>
            </w:pPr>
          </w:p>
          <w:p w14:paraId="5A7F1F92" w14:textId="72C57FBA" w:rsidR="004C6025" w:rsidRPr="00B04DA1" w:rsidRDefault="00F37A4B" w:rsidP="004C6025">
            <w:pPr>
              <w:jc w:val="both"/>
              <w:rPr>
                <w:sz w:val="27"/>
                <w:szCs w:val="27"/>
              </w:rPr>
            </w:pPr>
            <w:r w:rsidRPr="00B04DA1">
              <w:rPr>
                <w:sz w:val="27"/>
                <w:szCs w:val="27"/>
              </w:rPr>
              <w:t xml:space="preserve">Ņemot vērā, ka ir </w:t>
            </w:r>
            <w:r w:rsidR="00BC6BA8" w:rsidRPr="00B04DA1">
              <w:rPr>
                <w:sz w:val="27"/>
                <w:szCs w:val="27"/>
              </w:rPr>
              <w:t>ieviesti</w:t>
            </w:r>
            <w:r w:rsidRPr="00B04DA1">
              <w:rPr>
                <w:sz w:val="27"/>
                <w:szCs w:val="27"/>
              </w:rPr>
              <w:t xml:space="preserve"> jauni jēdzie</w:t>
            </w:r>
            <w:r w:rsidR="00BC6BA8" w:rsidRPr="00B04DA1">
              <w:rPr>
                <w:sz w:val="27"/>
                <w:szCs w:val="27"/>
              </w:rPr>
              <w:t xml:space="preserve">ni, kā arī, mainot </w:t>
            </w:r>
            <w:r w:rsidRPr="00B04DA1">
              <w:rPr>
                <w:sz w:val="27"/>
                <w:szCs w:val="27"/>
              </w:rPr>
              <w:t xml:space="preserve">atbildības regulējumu </w:t>
            </w:r>
            <w:r w:rsidR="00BC6BA8" w:rsidRPr="00B04DA1">
              <w:rPr>
                <w:sz w:val="27"/>
                <w:szCs w:val="27"/>
              </w:rPr>
              <w:t>Būvniecības likuma 19. </w:t>
            </w:r>
            <w:r w:rsidR="00F61C0B" w:rsidRPr="00B04DA1">
              <w:rPr>
                <w:sz w:val="27"/>
                <w:szCs w:val="27"/>
              </w:rPr>
              <w:t>pantā,</w:t>
            </w:r>
            <w:r w:rsidRPr="00B04DA1">
              <w:rPr>
                <w:sz w:val="27"/>
                <w:szCs w:val="27"/>
              </w:rPr>
              <w:t xml:space="preserve"> tiek </w:t>
            </w:r>
            <w:r w:rsidR="00835885" w:rsidRPr="00B04DA1">
              <w:rPr>
                <w:sz w:val="27"/>
                <w:szCs w:val="27"/>
              </w:rPr>
              <w:t>izslēgts termins „</w:t>
            </w:r>
            <w:r w:rsidRPr="00B04DA1">
              <w:rPr>
                <w:sz w:val="27"/>
                <w:szCs w:val="27"/>
              </w:rPr>
              <w:t xml:space="preserve">būvniecības </w:t>
            </w:r>
            <w:r w:rsidR="00BC6BA8" w:rsidRPr="00B04DA1">
              <w:rPr>
                <w:sz w:val="27"/>
                <w:szCs w:val="27"/>
              </w:rPr>
              <w:t>procesa</w:t>
            </w:r>
            <w:r w:rsidR="00835885" w:rsidRPr="00B04DA1">
              <w:rPr>
                <w:sz w:val="27"/>
                <w:szCs w:val="27"/>
              </w:rPr>
              <w:t xml:space="preserve"> dalībnieks”</w:t>
            </w:r>
            <w:r w:rsidRPr="00B04DA1">
              <w:rPr>
                <w:sz w:val="27"/>
                <w:szCs w:val="27"/>
              </w:rPr>
              <w:t>. Tiek atbilstoši papildināts Būvniecības likuma 1.</w:t>
            </w:r>
            <w:r w:rsidR="00BC6BA8" w:rsidRPr="00B04DA1">
              <w:rPr>
                <w:sz w:val="27"/>
                <w:szCs w:val="27"/>
              </w:rPr>
              <w:t> </w:t>
            </w:r>
            <w:r w:rsidRPr="00B04DA1">
              <w:rPr>
                <w:sz w:val="27"/>
                <w:szCs w:val="27"/>
              </w:rPr>
              <w:t>pants ar jauniem terminiem – raksturojot būvniecības procesa dalībniekus</w:t>
            </w:r>
            <w:r w:rsidR="00FA7790" w:rsidRPr="00B04DA1">
              <w:rPr>
                <w:sz w:val="27"/>
                <w:szCs w:val="27"/>
              </w:rPr>
              <w:t xml:space="preserve"> kopumā un katru atsevišķi</w:t>
            </w:r>
            <w:r w:rsidRPr="00B04DA1">
              <w:rPr>
                <w:sz w:val="27"/>
                <w:szCs w:val="27"/>
              </w:rPr>
              <w:t xml:space="preserve">. </w:t>
            </w:r>
            <w:r w:rsidR="00FA7790" w:rsidRPr="00B04DA1">
              <w:rPr>
                <w:sz w:val="27"/>
                <w:szCs w:val="27"/>
              </w:rPr>
              <w:t>Papildus tiek paredzēts, ka būvkomersants būs tiesīgs būvēt arī savām vajadzībām, lai izvairītos no situācijas, kurā būvkomersantam ir nepieciešams slēgt līgumu ar citu būvkomersantu, lai pēdējais būvētu pirmajam nepieciešamu būvi. Tāpat tiek precizēts, ka arī zemnieku un zvejnieku saimniecība var būt būvētājs – ņemot vērā šo personu speciālo regulējumu.</w:t>
            </w:r>
          </w:p>
          <w:p w14:paraId="59EB0119" w14:textId="77777777" w:rsidR="004C6025" w:rsidRPr="00B04DA1" w:rsidRDefault="004C6025" w:rsidP="004C6025">
            <w:pPr>
              <w:jc w:val="both"/>
              <w:rPr>
                <w:sz w:val="27"/>
                <w:szCs w:val="27"/>
              </w:rPr>
            </w:pPr>
          </w:p>
          <w:p w14:paraId="27960CDA" w14:textId="5069BE85" w:rsidR="00433EA7" w:rsidRPr="00B04DA1" w:rsidRDefault="00485567" w:rsidP="004C6025">
            <w:pPr>
              <w:jc w:val="both"/>
              <w:rPr>
                <w:sz w:val="27"/>
                <w:szCs w:val="27"/>
              </w:rPr>
            </w:pPr>
            <w:r w:rsidRPr="00B04DA1">
              <w:rPr>
                <w:sz w:val="27"/>
                <w:szCs w:val="27"/>
              </w:rPr>
              <w:t>[2] </w:t>
            </w:r>
            <w:r w:rsidR="00E716D5" w:rsidRPr="00B04DA1">
              <w:rPr>
                <w:sz w:val="27"/>
                <w:szCs w:val="27"/>
              </w:rPr>
              <w:t>Likumprojektā</w:t>
            </w:r>
            <w:r w:rsidRPr="00B04DA1">
              <w:rPr>
                <w:sz w:val="27"/>
                <w:szCs w:val="27"/>
              </w:rPr>
              <w:t xml:space="preserve"> </w:t>
            </w:r>
            <w:r w:rsidR="00B24B11" w:rsidRPr="00B04DA1">
              <w:rPr>
                <w:sz w:val="27"/>
                <w:szCs w:val="27"/>
              </w:rPr>
              <w:t>tiek</w:t>
            </w:r>
            <w:r w:rsidRPr="00B04DA1">
              <w:rPr>
                <w:sz w:val="27"/>
                <w:szCs w:val="27"/>
              </w:rPr>
              <w:t xml:space="preserve"> skaidri no</w:t>
            </w:r>
            <w:r w:rsidR="00B24B11" w:rsidRPr="00B04DA1">
              <w:rPr>
                <w:sz w:val="27"/>
                <w:szCs w:val="27"/>
              </w:rPr>
              <w:t>teikta</w:t>
            </w:r>
            <w:r w:rsidRPr="00B04DA1">
              <w:rPr>
                <w:sz w:val="27"/>
                <w:szCs w:val="27"/>
              </w:rPr>
              <w:t xml:space="preserve"> būvvaldes kompetence attiecībā uz tehnisko prasību </w:t>
            </w:r>
            <w:r w:rsidR="00E716D5" w:rsidRPr="00B04DA1">
              <w:rPr>
                <w:sz w:val="27"/>
                <w:szCs w:val="27"/>
              </w:rPr>
              <w:t xml:space="preserve">un būvniecības principu </w:t>
            </w:r>
            <w:r w:rsidRPr="00B04DA1">
              <w:rPr>
                <w:sz w:val="27"/>
                <w:szCs w:val="27"/>
              </w:rPr>
              <w:t>pārbaudi</w:t>
            </w:r>
            <w:r w:rsidR="004B5967" w:rsidRPr="00B04DA1">
              <w:rPr>
                <w:sz w:val="27"/>
                <w:szCs w:val="27"/>
              </w:rPr>
              <w:t xml:space="preserve"> (Būvniecības likuma 12. panta 3.</w:t>
            </w:r>
            <w:r w:rsidR="004B5967" w:rsidRPr="00B04DA1">
              <w:rPr>
                <w:sz w:val="27"/>
                <w:szCs w:val="27"/>
                <w:vertAlign w:val="superscript"/>
              </w:rPr>
              <w:t>2</w:t>
            </w:r>
            <w:r w:rsidR="004B5967" w:rsidRPr="00B04DA1">
              <w:rPr>
                <w:sz w:val="27"/>
                <w:szCs w:val="27"/>
              </w:rPr>
              <w:t> daļa)</w:t>
            </w:r>
            <w:r w:rsidR="00433EA7" w:rsidRPr="00B04DA1">
              <w:rPr>
                <w:sz w:val="27"/>
                <w:szCs w:val="27"/>
              </w:rPr>
              <w:t xml:space="preserve">, ņemot vērā </w:t>
            </w:r>
            <w:r w:rsidR="00B24B11" w:rsidRPr="00B04DA1">
              <w:rPr>
                <w:sz w:val="27"/>
                <w:szCs w:val="27"/>
              </w:rPr>
              <w:t xml:space="preserve">tās sastāvu (Būvniecības likuma 12. panta </w:t>
            </w:r>
            <w:r w:rsidR="00FE76F4" w:rsidRPr="00B04DA1">
              <w:rPr>
                <w:sz w:val="27"/>
                <w:szCs w:val="27"/>
              </w:rPr>
              <w:t>otrā</w:t>
            </w:r>
            <w:r w:rsidR="00B24B11" w:rsidRPr="00B04DA1">
              <w:rPr>
                <w:sz w:val="27"/>
                <w:szCs w:val="27"/>
              </w:rPr>
              <w:t xml:space="preserve"> daļa)</w:t>
            </w:r>
            <w:r w:rsidR="00433EA7" w:rsidRPr="00B04DA1">
              <w:rPr>
                <w:sz w:val="27"/>
                <w:szCs w:val="27"/>
              </w:rPr>
              <w:t>. Šāds regulējums nodrošinās, ka visās būvvald</w:t>
            </w:r>
            <w:r w:rsidR="00B24B11" w:rsidRPr="00B04DA1">
              <w:rPr>
                <w:sz w:val="27"/>
                <w:szCs w:val="27"/>
              </w:rPr>
              <w:t>ē</w:t>
            </w:r>
            <w:r w:rsidR="00433EA7" w:rsidRPr="00B04DA1">
              <w:rPr>
                <w:sz w:val="27"/>
                <w:szCs w:val="27"/>
              </w:rPr>
              <w:t>s būs vienādi būvniecības ieceres pārbaudes kritēriji</w:t>
            </w:r>
            <w:r w:rsidR="0090030A" w:rsidRPr="00B04DA1">
              <w:rPr>
                <w:sz w:val="27"/>
                <w:szCs w:val="27"/>
              </w:rPr>
              <w:t>,</w:t>
            </w:r>
            <w:r w:rsidR="00433EA7" w:rsidRPr="00B04DA1">
              <w:rPr>
                <w:sz w:val="27"/>
                <w:szCs w:val="27"/>
              </w:rPr>
              <w:t xml:space="preserve"> </w:t>
            </w:r>
            <w:r w:rsidR="00B24B11" w:rsidRPr="00B04DA1">
              <w:rPr>
                <w:sz w:val="27"/>
                <w:szCs w:val="27"/>
              </w:rPr>
              <w:t>efektīv</w:t>
            </w:r>
            <w:r w:rsidR="003F057F" w:rsidRPr="00B04DA1">
              <w:rPr>
                <w:sz w:val="27"/>
                <w:szCs w:val="27"/>
              </w:rPr>
              <w:t>a</w:t>
            </w:r>
            <w:r w:rsidR="00B24B11" w:rsidRPr="00B04DA1">
              <w:rPr>
                <w:sz w:val="27"/>
                <w:szCs w:val="27"/>
              </w:rPr>
              <w:t xml:space="preserve"> kvalitātītes kontrole </w:t>
            </w:r>
            <w:r w:rsidR="003F057F" w:rsidRPr="00B04DA1">
              <w:rPr>
                <w:sz w:val="27"/>
                <w:szCs w:val="27"/>
              </w:rPr>
              <w:t>atbilstoši tās kompetencei</w:t>
            </w:r>
            <w:r w:rsidR="0090030A" w:rsidRPr="00B04DA1">
              <w:rPr>
                <w:sz w:val="27"/>
                <w:szCs w:val="27"/>
              </w:rPr>
              <w:t xml:space="preserve"> un </w:t>
            </w:r>
            <w:r w:rsidR="00850762" w:rsidRPr="00B04DA1">
              <w:rPr>
                <w:sz w:val="27"/>
                <w:szCs w:val="27"/>
              </w:rPr>
              <w:t xml:space="preserve">sasniedzami </w:t>
            </w:r>
            <w:r w:rsidR="0090030A" w:rsidRPr="00B04DA1">
              <w:rPr>
                <w:sz w:val="27"/>
                <w:szCs w:val="27"/>
              </w:rPr>
              <w:t>termiņi būvniecības ieceres izskatīšanai</w:t>
            </w:r>
            <w:r w:rsidR="00850762" w:rsidRPr="00B04DA1">
              <w:rPr>
                <w:sz w:val="27"/>
                <w:szCs w:val="27"/>
              </w:rPr>
              <w:t xml:space="preserve"> būvvaldē, kas atbilst Latvijas būvniecības nozares attīstības stratēģijā 2017. – 2024. gadam noteiktam mērķim</w:t>
            </w:r>
            <w:r w:rsidR="00433EA7" w:rsidRPr="00B04DA1">
              <w:rPr>
                <w:sz w:val="27"/>
                <w:szCs w:val="27"/>
              </w:rPr>
              <w:t>.</w:t>
            </w:r>
          </w:p>
          <w:p w14:paraId="138E5695" w14:textId="753AD893" w:rsidR="00FF666B" w:rsidRPr="00B04DA1" w:rsidRDefault="00FF666B" w:rsidP="004C6025">
            <w:pPr>
              <w:jc w:val="both"/>
              <w:rPr>
                <w:sz w:val="27"/>
                <w:szCs w:val="27"/>
              </w:rPr>
            </w:pPr>
          </w:p>
          <w:p w14:paraId="7F92685B" w14:textId="75FD2C95" w:rsidR="00FF666B" w:rsidRPr="00B04DA1" w:rsidRDefault="00FF666B" w:rsidP="00FF666B">
            <w:pPr>
              <w:jc w:val="both"/>
              <w:rPr>
                <w:sz w:val="27"/>
                <w:szCs w:val="27"/>
              </w:rPr>
            </w:pPr>
            <w:r w:rsidRPr="00B04DA1">
              <w:rPr>
                <w:sz w:val="27"/>
                <w:szCs w:val="27"/>
              </w:rPr>
              <w:t>Būvvalde vērtē un pārbauda būvniecības ieceres atbilstību normatīvo aktu prasībām</w:t>
            </w:r>
            <w:r w:rsidR="00F15DB3" w:rsidRPr="00B04DA1">
              <w:rPr>
                <w:sz w:val="27"/>
                <w:szCs w:val="27"/>
              </w:rPr>
              <w:t xml:space="preserve"> (piemēram, trešo personu saskaņojumu esamība)</w:t>
            </w:r>
            <w:r w:rsidRPr="00B04DA1">
              <w:rPr>
                <w:sz w:val="27"/>
                <w:szCs w:val="27"/>
              </w:rPr>
              <w:t>, ievērojot noteikto kompetenci būvniecības principu un tehnisko prasību jomā. Būvvaldes kompetencē ir šāda būvniecības principa un tehnisko prasību pārbaude un kontrole:</w:t>
            </w:r>
          </w:p>
          <w:p w14:paraId="2EBA74B4" w14:textId="768D8683" w:rsidR="00FF666B" w:rsidRPr="00B04DA1" w:rsidRDefault="00FF666B" w:rsidP="00FF666B">
            <w:pPr>
              <w:jc w:val="both"/>
              <w:rPr>
                <w:sz w:val="27"/>
                <w:szCs w:val="27"/>
              </w:rPr>
            </w:pPr>
            <w:r w:rsidRPr="00B04DA1">
              <w:rPr>
                <w:sz w:val="27"/>
                <w:szCs w:val="27"/>
              </w:rPr>
              <w:lastRenderedPageBreak/>
              <w:t>1) arhitektoniskās kvalitātes princips, ciktāl tas attiecas uz būves iekļaušanos ainavā un pilsētvidē, ņemot vērā ekonomiskos un citus aspektus;</w:t>
            </w:r>
          </w:p>
          <w:p w14:paraId="421BEACB" w14:textId="765F7D6E" w:rsidR="00FF666B" w:rsidRPr="00B04DA1" w:rsidRDefault="00FF666B" w:rsidP="00FF666B">
            <w:pPr>
              <w:jc w:val="both"/>
              <w:rPr>
                <w:sz w:val="27"/>
                <w:szCs w:val="27"/>
              </w:rPr>
            </w:pPr>
            <w:r w:rsidRPr="00B04DA1">
              <w:rPr>
                <w:sz w:val="27"/>
                <w:szCs w:val="27"/>
              </w:rPr>
              <w:t>2) vides pieejamības prasības;</w:t>
            </w:r>
          </w:p>
          <w:p w14:paraId="440B3993" w14:textId="46EF5C81" w:rsidR="00FF666B" w:rsidRPr="00B04DA1" w:rsidRDefault="00FF666B" w:rsidP="00FF666B">
            <w:pPr>
              <w:jc w:val="both"/>
              <w:rPr>
                <w:sz w:val="27"/>
                <w:szCs w:val="27"/>
              </w:rPr>
            </w:pPr>
            <w:r w:rsidRPr="00B04DA1">
              <w:rPr>
                <w:sz w:val="27"/>
                <w:szCs w:val="27"/>
              </w:rPr>
              <w:t xml:space="preserve">3) pašvaldības teritorijas plānojumā, </w:t>
            </w:r>
            <w:proofErr w:type="spellStart"/>
            <w:r w:rsidRPr="00B04DA1">
              <w:rPr>
                <w:sz w:val="27"/>
                <w:szCs w:val="27"/>
              </w:rPr>
              <w:t>lokālplānojumā</w:t>
            </w:r>
            <w:proofErr w:type="spellEnd"/>
            <w:r w:rsidRPr="00B04DA1">
              <w:rPr>
                <w:sz w:val="27"/>
                <w:szCs w:val="27"/>
              </w:rPr>
              <w:t xml:space="preserve"> (ja tāds ir izstrādāts) un detālplānojumā (ja tas nepieciešams saskaņā ar normatīvajiem aktiem) noteiktās prasības;</w:t>
            </w:r>
          </w:p>
          <w:p w14:paraId="6D936634" w14:textId="314D2E02" w:rsidR="00FF666B" w:rsidRPr="00B04DA1" w:rsidRDefault="00FF666B" w:rsidP="00FF666B">
            <w:pPr>
              <w:jc w:val="both"/>
              <w:rPr>
                <w:sz w:val="27"/>
                <w:szCs w:val="27"/>
              </w:rPr>
            </w:pPr>
            <w:r w:rsidRPr="00B04DA1">
              <w:rPr>
                <w:sz w:val="27"/>
                <w:szCs w:val="27"/>
              </w:rPr>
              <w:t xml:space="preserve">4) normatīvajos aktos noteiktās būves novietojuma un </w:t>
            </w:r>
            <w:proofErr w:type="spellStart"/>
            <w:r w:rsidRPr="00B04DA1">
              <w:rPr>
                <w:sz w:val="27"/>
                <w:szCs w:val="27"/>
              </w:rPr>
              <w:t>insolācijas</w:t>
            </w:r>
            <w:proofErr w:type="spellEnd"/>
            <w:r w:rsidRPr="00B04DA1">
              <w:rPr>
                <w:sz w:val="27"/>
                <w:szCs w:val="27"/>
              </w:rPr>
              <w:t xml:space="preserve"> prasības.</w:t>
            </w:r>
            <w:r w:rsidR="00F15DB3" w:rsidRPr="00B04DA1">
              <w:rPr>
                <w:sz w:val="27"/>
                <w:szCs w:val="27"/>
              </w:rPr>
              <w:t xml:space="preserve"> </w:t>
            </w:r>
          </w:p>
          <w:p w14:paraId="29AF0455" w14:textId="53034649" w:rsidR="00FF666B" w:rsidRPr="00B04DA1" w:rsidRDefault="00F15DB3" w:rsidP="004C6025">
            <w:pPr>
              <w:jc w:val="both"/>
              <w:rPr>
                <w:sz w:val="27"/>
                <w:szCs w:val="27"/>
              </w:rPr>
            </w:pPr>
            <w:r w:rsidRPr="00B04DA1">
              <w:rPr>
                <w:sz w:val="27"/>
                <w:szCs w:val="27"/>
              </w:rPr>
              <w:t xml:space="preserve">Konstatējot būvniecības ieceres iespējamo </w:t>
            </w:r>
            <w:r w:rsidR="008430D1" w:rsidRPr="00B04DA1">
              <w:rPr>
                <w:sz w:val="27"/>
                <w:szCs w:val="27"/>
              </w:rPr>
              <w:t xml:space="preserve">neatbilstību </w:t>
            </w:r>
            <w:r w:rsidRPr="00B04DA1">
              <w:rPr>
                <w:sz w:val="27"/>
                <w:szCs w:val="27"/>
              </w:rPr>
              <w:t xml:space="preserve">citiem būvniecības principiem vai citām normatīvo aktu tehniskajām prasībām, būvvalde par to informē būvniecības ierosinātāju, būvniecības ieceres izstrādātāju, atbilstošo valsts vai pašvaldības institūciju un </w:t>
            </w:r>
            <w:proofErr w:type="spellStart"/>
            <w:r w:rsidR="008F3314" w:rsidRPr="00B04DA1">
              <w:rPr>
                <w:sz w:val="27"/>
                <w:szCs w:val="27"/>
              </w:rPr>
              <w:t>būvspeciālistu</w:t>
            </w:r>
            <w:proofErr w:type="spellEnd"/>
            <w:r w:rsidR="008F3314" w:rsidRPr="00B04DA1">
              <w:rPr>
                <w:sz w:val="27"/>
                <w:szCs w:val="27"/>
              </w:rPr>
              <w:t xml:space="preserve"> </w:t>
            </w:r>
            <w:r w:rsidRPr="00B04DA1">
              <w:rPr>
                <w:sz w:val="27"/>
                <w:szCs w:val="27"/>
              </w:rPr>
              <w:t>kompetences pārbaudes iestādi. Būvniecības ieceres iespējamā neatbilstība citiem būvniecības principiem vai citu normatīvo aktu tehniskajām prasībām nav pamats, lai būvvalde atteiktu akceptēt ieceri vai izdod būvatļauju, kā arī nav pamats, lai būvvalde atteiktu izdarīt atzīmi būvatļaujā par tajā ietverto projektēšanas nosacījumu izpildi. Šaubu gadījumā par būvniecības ieceres atbilstību mehāniskās stiprības vai stabilitātes prasībām būvvalde var lemt par pienākumu būvniecības ierosinātajam iesniegt būvvaldē būves vai tās daļas ekspertīzi uz būves vai tās daļas nodošanu ekspluatācijā</w:t>
            </w:r>
            <w:r w:rsidR="008F3314" w:rsidRPr="00B04DA1">
              <w:rPr>
                <w:sz w:val="27"/>
                <w:szCs w:val="27"/>
              </w:rPr>
              <w:t xml:space="preserve"> (sk. Būvniecības likuma 14.panta 3.</w:t>
            </w:r>
            <w:r w:rsidR="008F3314" w:rsidRPr="00B04DA1">
              <w:rPr>
                <w:sz w:val="27"/>
                <w:szCs w:val="27"/>
                <w:vertAlign w:val="superscript"/>
              </w:rPr>
              <w:t>1</w:t>
            </w:r>
            <w:r w:rsidR="008F3314" w:rsidRPr="00B04DA1">
              <w:rPr>
                <w:sz w:val="27"/>
                <w:szCs w:val="27"/>
              </w:rPr>
              <w:t> daļu)</w:t>
            </w:r>
            <w:r w:rsidRPr="00B04DA1">
              <w:rPr>
                <w:sz w:val="27"/>
                <w:szCs w:val="27"/>
              </w:rPr>
              <w:t>.</w:t>
            </w:r>
          </w:p>
          <w:p w14:paraId="630AB3D2" w14:textId="24262C0B" w:rsidR="00FF666B" w:rsidRPr="00B04DA1" w:rsidRDefault="00FF666B" w:rsidP="004C6025">
            <w:pPr>
              <w:jc w:val="both"/>
              <w:rPr>
                <w:sz w:val="27"/>
                <w:szCs w:val="27"/>
              </w:rPr>
            </w:pPr>
          </w:p>
          <w:p w14:paraId="103C8C30" w14:textId="4422FE4D" w:rsidR="008B4858" w:rsidRPr="00B04DA1" w:rsidRDefault="008B4858" w:rsidP="004C6025">
            <w:pPr>
              <w:jc w:val="both"/>
              <w:rPr>
                <w:sz w:val="27"/>
                <w:szCs w:val="27"/>
              </w:rPr>
            </w:pPr>
            <w:r w:rsidRPr="00B04DA1">
              <w:rPr>
                <w:sz w:val="27"/>
                <w:szCs w:val="27"/>
              </w:rPr>
              <w:t xml:space="preserve">Būvvaldei kompetencei tehnisko prasību un būvniecības principu jomā tiek pakārtota arī tās kompetence būvdarbu kontrolē un pieņemšanā ekspluatācijā. </w:t>
            </w:r>
          </w:p>
          <w:p w14:paraId="7DDAC9C0" w14:textId="77777777" w:rsidR="004370B7" w:rsidRPr="00B04DA1" w:rsidRDefault="004370B7" w:rsidP="004C6025">
            <w:pPr>
              <w:jc w:val="both"/>
              <w:rPr>
                <w:sz w:val="27"/>
                <w:szCs w:val="27"/>
              </w:rPr>
            </w:pPr>
          </w:p>
          <w:p w14:paraId="4D7AD36B" w14:textId="1B97D9B3" w:rsidR="004370B7" w:rsidRPr="00B04DA1" w:rsidRDefault="004370B7" w:rsidP="004C6025">
            <w:pPr>
              <w:jc w:val="both"/>
              <w:rPr>
                <w:sz w:val="27"/>
                <w:szCs w:val="27"/>
              </w:rPr>
            </w:pPr>
            <w:r w:rsidRPr="00B04DA1">
              <w:rPr>
                <w:sz w:val="27"/>
                <w:szCs w:val="27"/>
              </w:rPr>
              <w:t>Būvdarbu laikā būvvalde pārbauda būves atbilstību būvniecības ieceres dokumentos saskaņotajam apjomam un novietojumam</w:t>
            </w:r>
            <w:r w:rsidR="00FD3B7C" w:rsidRPr="00B04DA1">
              <w:rPr>
                <w:sz w:val="27"/>
                <w:szCs w:val="27"/>
              </w:rPr>
              <w:t xml:space="preserve"> (sk. Būvniecības likuma 12. panta 3.</w:t>
            </w:r>
            <w:r w:rsidR="00FD3B7C" w:rsidRPr="00B04DA1">
              <w:rPr>
                <w:sz w:val="27"/>
                <w:szCs w:val="27"/>
                <w:vertAlign w:val="superscript"/>
              </w:rPr>
              <w:t>4</w:t>
            </w:r>
            <w:r w:rsidR="00FD3B7C" w:rsidRPr="00B04DA1">
              <w:rPr>
                <w:sz w:val="27"/>
                <w:szCs w:val="27"/>
              </w:rPr>
              <w:t xml:space="preserve"> daļu)</w:t>
            </w:r>
            <w:r w:rsidR="00F15DB3" w:rsidRPr="00B04DA1">
              <w:rPr>
                <w:sz w:val="27"/>
                <w:szCs w:val="27"/>
              </w:rPr>
              <w:t xml:space="preserve">, nodrošinot </w:t>
            </w:r>
            <w:r w:rsidRPr="00B04DA1">
              <w:rPr>
                <w:sz w:val="27"/>
                <w:szCs w:val="27"/>
              </w:rPr>
              <w:t>patvaļīgā</w:t>
            </w:r>
            <w:r w:rsidR="00F15DB3" w:rsidRPr="00B04DA1">
              <w:rPr>
                <w:sz w:val="27"/>
                <w:szCs w:val="27"/>
              </w:rPr>
              <w:t>s</w:t>
            </w:r>
            <w:r w:rsidRPr="00B04DA1">
              <w:rPr>
                <w:sz w:val="27"/>
                <w:szCs w:val="27"/>
              </w:rPr>
              <w:t xml:space="preserve"> būvniecība</w:t>
            </w:r>
            <w:r w:rsidR="00F15DB3" w:rsidRPr="00B04DA1">
              <w:rPr>
                <w:sz w:val="27"/>
                <w:szCs w:val="27"/>
              </w:rPr>
              <w:t>s kontroli</w:t>
            </w:r>
            <w:r w:rsidRPr="00B04DA1">
              <w:rPr>
                <w:sz w:val="27"/>
                <w:szCs w:val="27"/>
              </w:rPr>
              <w:t xml:space="preserve">. </w:t>
            </w:r>
            <w:r w:rsidR="00F15DB3" w:rsidRPr="00B04DA1">
              <w:rPr>
                <w:sz w:val="27"/>
                <w:szCs w:val="27"/>
              </w:rPr>
              <w:t>B</w:t>
            </w:r>
            <w:r w:rsidR="00FD3B7C" w:rsidRPr="00B04DA1">
              <w:rPr>
                <w:sz w:val="27"/>
                <w:szCs w:val="27"/>
              </w:rPr>
              <w:t xml:space="preserve">ūvdarbu kontroles ietvaros būvvaldes </w:t>
            </w:r>
            <w:r w:rsidR="00FD3B7C" w:rsidRPr="00B04DA1">
              <w:rPr>
                <w:sz w:val="27"/>
                <w:szCs w:val="27"/>
              </w:rPr>
              <w:lastRenderedPageBreak/>
              <w:t>kompetencē</w:t>
            </w:r>
            <w:r w:rsidR="00A82BC9" w:rsidRPr="00B04DA1">
              <w:rPr>
                <w:sz w:val="27"/>
                <w:szCs w:val="27"/>
              </w:rPr>
              <w:t>,</w:t>
            </w:r>
            <w:r w:rsidR="00FD3B7C" w:rsidRPr="00B04DA1">
              <w:rPr>
                <w:sz w:val="27"/>
                <w:szCs w:val="27"/>
              </w:rPr>
              <w:t xml:space="preserve"> kā līdz šim</w:t>
            </w:r>
            <w:r w:rsidR="00A82BC9" w:rsidRPr="00B04DA1">
              <w:rPr>
                <w:sz w:val="27"/>
                <w:szCs w:val="27"/>
              </w:rPr>
              <w:t>,</w:t>
            </w:r>
            <w:r w:rsidR="00FD3B7C" w:rsidRPr="00B04DA1">
              <w:rPr>
                <w:sz w:val="27"/>
                <w:szCs w:val="27"/>
              </w:rPr>
              <w:t xml:space="preserve"> būs arī </w:t>
            </w:r>
            <w:r w:rsidRPr="00B04DA1">
              <w:rPr>
                <w:sz w:val="27"/>
                <w:szCs w:val="27"/>
              </w:rPr>
              <w:t>speciālajos būvnoteikumos noteiktās būvdarbu veikšanas dokumentācijas un būvizstrādājumu ekspluatāci</w:t>
            </w:r>
            <w:r w:rsidR="00A82BC9" w:rsidRPr="00B04DA1">
              <w:rPr>
                <w:sz w:val="27"/>
                <w:szCs w:val="27"/>
              </w:rPr>
              <w:t>jas īpašību deklarāciju esamības</w:t>
            </w:r>
            <w:r w:rsidR="00FD3B7C" w:rsidRPr="00B04DA1">
              <w:rPr>
                <w:sz w:val="27"/>
                <w:szCs w:val="27"/>
              </w:rPr>
              <w:t xml:space="preserve"> kontrole. Tāpat būvvaldes kompetencē būs arī </w:t>
            </w:r>
            <w:r w:rsidRPr="00B04DA1">
              <w:rPr>
                <w:sz w:val="27"/>
                <w:szCs w:val="27"/>
              </w:rPr>
              <w:t xml:space="preserve">vērtē konservācijas vai iepriekšējā stāvokļa atjaunošanas nepieciešamību. </w:t>
            </w:r>
            <w:r w:rsidR="00FD3B7C" w:rsidRPr="00B04DA1">
              <w:rPr>
                <w:sz w:val="27"/>
                <w:szCs w:val="27"/>
              </w:rPr>
              <w:t xml:space="preserve">Šāds regulējums ir saskanīgs ar speciālajos būvnoteikumos un Būvniecības likuma 18. pantā ietverto regulējumu. Līdzīga kompetence būvvaldei </w:t>
            </w:r>
            <w:r w:rsidR="00556B1A" w:rsidRPr="00B04DA1">
              <w:rPr>
                <w:sz w:val="27"/>
                <w:szCs w:val="27"/>
              </w:rPr>
              <w:t>ir</w:t>
            </w:r>
            <w:r w:rsidR="00FD3B7C" w:rsidRPr="00B04DA1">
              <w:rPr>
                <w:sz w:val="27"/>
                <w:szCs w:val="27"/>
              </w:rPr>
              <w:t xml:space="preserve"> noteikt</w:t>
            </w:r>
            <w:r w:rsidR="00556B1A" w:rsidRPr="00B04DA1">
              <w:rPr>
                <w:sz w:val="27"/>
                <w:szCs w:val="27"/>
              </w:rPr>
              <w:t>a</w:t>
            </w:r>
            <w:r w:rsidR="00FD3B7C" w:rsidRPr="00B04DA1">
              <w:rPr>
                <w:sz w:val="27"/>
                <w:szCs w:val="27"/>
              </w:rPr>
              <w:t xml:space="preserve"> arī attiecībā uz būves pieņemšanu ekspluatācijā (Būvniecības likuma 12. panta 3.</w:t>
            </w:r>
            <w:r w:rsidR="00FD3B7C" w:rsidRPr="00B04DA1">
              <w:rPr>
                <w:sz w:val="27"/>
                <w:szCs w:val="27"/>
                <w:vertAlign w:val="superscript"/>
              </w:rPr>
              <w:t>5</w:t>
            </w:r>
            <w:r w:rsidR="00FD3B7C" w:rsidRPr="00B04DA1">
              <w:rPr>
                <w:sz w:val="27"/>
                <w:szCs w:val="27"/>
              </w:rPr>
              <w:t xml:space="preserve"> daļa).</w:t>
            </w:r>
          </w:p>
          <w:p w14:paraId="7C0D95B2" w14:textId="77777777" w:rsidR="00FD3B7C" w:rsidRPr="00B04DA1" w:rsidRDefault="00FD3B7C" w:rsidP="004C6025">
            <w:pPr>
              <w:jc w:val="both"/>
              <w:rPr>
                <w:sz w:val="27"/>
                <w:szCs w:val="27"/>
              </w:rPr>
            </w:pPr>
          </w:p>
          <w:p w14:paraId="3034C819" w14:textId="0171F943" w:rsidR="00FD3B7C" w:rsidRPr="00B04DA1" w:rsidRDefault="00DD20F3" w:rsidP="004C6025">
            <w:pPr>
              <w:jc w:val="both"/>
              <w:rPr>
                <w:sz w:val="27"/>
                <w:szCs w:val="27"/>
              </w:rPr>
            </w:pPr>
            <w:r w:rsidRPr="00B04DA1">
              <w:rPr>
                <w:sz w:val="27"/>
                <w:szCs w:val="27"/>
              </w:rPr>
              <w:t>Ņemot vērā iepriekš minētā</w:t>
            </w:r>
            <w:r w:rsidR="00D824C2" w:rsidRPr="00B04DA1">
              <w:rPr>
                <w:sz w:val="27"/>
                <w:szCs w:val="27"/>
              </w:rPr>
              <w:t xml:space="preserve">s izmaiņas Būvniecības likumā saistībā ar būvniecības administratīvā procesa nodalīšanu no būvniecības kopējā procesa un </w:t>
            </w:r>
            <w:r w:rsidR="00BB2DE4" w:rsidRPr="00B04DA1">
              <w:rPr>
                <w:sz w:val="27"/>
                <w:szCs w:val="27"/>
              </w:rPr>
              <w:t>būvvaldes kompetenci, atbilstoša</w:t>
            </w:r>
            <w:r w:rsidR="00D824C2" w:rsidRPr="00B04DA1">
              <w:rPr>
                <w:sz w:val="27"/>
                <w:szCs w:val="27"/>
              </w:rPr>
              <w:t>s izmaiņas ir paredzētas arī Būvniecības likuma 6.</w:t>
            </w:r>
            <w:r w:rsidR="00187D69" w:rsidRPr="00B04DA1">
              <w:rPr>
                <w:sz w:val="27"/>
                <w:szCs w:val="27"/>
              </w:rPr>
              <w:t> </w:t>
            </w:r>
            <w:r w:rsidR="00D824C2" w:rsidRPr="00B04DA1">
              <w:rPr>
                <w:sz w:val="27"/>
                <w:szCs w:val="27"/>
              </w:rPr>
              <w:t>panta ceturtajā daļā, 6.</w:t>
            </w:r>
            <w:r w:rsidR="00D824C2" w:rsidRPr="00B04DA1">
              <w:rPr>
                <w:sz w:val="27"/>
                <w:szCs w:val="27"/>
                <w:vertAlign w:val="superscript"/>
              </w:rPr>
              <w:t>1</w:t>
            </w:r>
            <w:r w:rsidR="00D824C2" w:rsidRPr="00B04DA1">
              <w:rPr>
                <w:sz w:val="27"/>
                <w:szCs w:val="27"/>
              </w:rPr>
              <w:t> panta otrajā daļā, 7.</w:t>
            </w:r>
            <w:r w:rsidR="00187D69" w:rsidRPr="00B04DA1">
              <w:rPr>
                <w:sz w:val="27"/>
                <w:szCs w:val="27"/>
              </w:rPr>
              <w:t> </w:t>
            </w:r>
            <w:r w:rsidR="00D824C2" w:rsidRPr="00B04DA1">
              <w:rPr>
                <w:sz w:val="27"/>
                <w:szCs w:val="27"/>
              </w:rPr>
              <w:t>panta pirmās daļas 1.</w:t>
            </w:r>
            <w:r w:rsidR="00187D69" w:rsidRPr="00B04DA1">
              <w:rPr>
                <w:sz w:val="27"/>
                <w:szCs w:val="27"/>
              </w:rPr>
              <w:t> </w:t>
            </w:r>
            <w:r w:rsidR="00D824C2" w:rsidRPr="00B04DA1">
              <w:rPr>
                <w:sz w:val="27"/>
                <w:szCs w:val="27"/>
              </w:rPr>
              <w:t>punktā, 12.</w:t>
            </w:r>
            <w:r w:rsidR="00187D69" w:rsidRPr="00B04DA1">
              <w:rPr>
                <w:sz w:val="27"/>
                <w:szCs w:val="27"/>
              </w:rPr>
              <w:t> </w:t>
            </w:r>
            <w:r w:rsidR="00D824C2" w:rsidRPr="00B04DA1">
              <w:rPr>
                <w:sz w:val="27"/>
                <w:szCs w:val="27"/>
              </w:rPr>
              <w:t>panta sestajā daļā, 15.</w:t>
            </w:r>
            <w:r w:rsidR="00187D69" w:rsidRPr="00B04DA1">
              <w:rPr>
                <w:sz w:val="27"/>
                <w:szCs w:val="27"/>
              </w:rPr>
              <w:t> </w:t>
            </w:r>
            <w:r w:rsidR="00D824C2" w:rsidRPr="00B04DA1">
              <w:rPr>
                <w:sz w:val="27"/>
                <w:szCs w:val="27"/>
              </w:rPr>
              <w:t>panta trešās</w:t>
            </w:r>
            <w:r w:rsidR="00187D69" w:rsidRPr="00B04DA1">
              <w:rPr>
                <w:sz w:val="27"/>
                <w:szCs w:val="27"/>
              </w:rPr>
              <w:t xml:space="preserve"> daļas 1. punktā un pārejas noteikumu 19. punktā.</w:t>
            </w:r>
          </w:p>
          <w:p w14:paraId="73ED396D" w14:textId="77777777" w:rsidR="0002290D" w:rsidRPr="00B04DA1" w:rsidRDefault="0002290D" w:rsidP="004C6025">
            <w:pPr>
              <w:jc w:val="both"/>
              <w:rPr>
                <w:sz w:val="27"/>
                <w:szCs w:val="27"/>
              </w:rPr>
            </w:pPr>
          </w:p>
          <w:p w14:paraId="6EC0FC56" w14:textId="772CB0B9" w:rsidR="0002290D" w:rsidRPr="00B04DA1" w:rsidRDefault="0002290D" w:rsidP="004C6025">
            <w:pPr>
              <w:jc w:val="both"/>
              <w:rPr>
                <w:sz w:val="27"/>
                <w:szCs w:val="27"/>
              </w:rPr>
            </w:pPr>
            <w:r w:rsidRPr="00B04DA1">
              <w:rPr>
                <w:sz w:val="27"/>
                <w:szCs w:val="27"/>
              </w:rPr>
              <w:t>Būvniecības likuma 12. panta trešās daļas 6.</w:t>
            </w:r>
            <w:r w:rsidR="00A82BC9" w:rsidRPr="00B04DA1">
              <w:rPr>
                <w:sz w:val="27"/>
                <w:szCs w:val="27"/>
              </w:rPr>
              <w:t> </w:t>
            </w:r>
            <w:r w:rsidRPr="00B04DA1">
              <w:rPr>
                <w:sz w:val="27"/>
                <w:szCs w:val="27"/>
              </w:rPr>
              <w:t>punktā ietvertais regulējums tiek saglabāts – pārcelts uz Būvniecības likuma 9.</w:t>
            </w:r>
            <w:r w:rsidRPr="00B04DA1">
              <w:rPr>
                <w:sz w:val="27"/>
                <w:szCs w:val="27"/>
                <w:vertAlign w:val="superscript"/>
              </w:rPr>
              <w:t>1</w:t>
            </w:r>
            <w:r w:rsidR="008F3314" w:rsidRPr="00B04DA1">
              <w:rPr>
                <w:sz w:val="27"/>
                <w:szCs w:val="27"/>
              </w:rPr>
              <w:t> pantu (sk. likumprojekta 5</w:t>
            </w:r>
            <w:r w:rsidRPr="00B04DA1">
              <w:rPr>
                <w:sz w:val="27"/>
                <w:szCs w:val="27"/>
              </w:rPr>
              <w:t>. pantu).</w:t>
            </w:r>
          </w:p>
          <w:p w14:paraId="3360D633" w14:textId="77777777" w:rsidR="00A91206" w:rsidRPr="00B04DA1" w:rsidRDefault="00A91206" w:rsidP="004C6025">
            <w:pPr>
              <w:jc w:val="both"/>
              <w:rPr>
                <w:sz w:val="27"/>
                <w:szCs w:val="27"/>
              </w:rPr>
            </w:pPr>
          </w:p>
          <w:p w14:paraId="25062704" w14:textId="4E1AF47B" w:rsidR="00A91206" w:rsidRPr="00B04DA1" w:rsidRDefault="004B5967" w:rsidP="004C6025">
            <w:pPr>
              <w:jc w:val="both"/>
              <w:rPr>
                <w:sz w:val="27"/>
                <w:szCs w:val="27"/>
              </w:rPr>
            </w:pPr>
            <w:r w:rsidRPr="00B04DA1">
              <w:rPr>
                <w:sz w:val="27"/>
                <w:szCs w:val="27"/>
              </w:rPr>
              <w:t>Lai atvieglotu pilsēt</w:t>
            </w:r>
            <w:r w:rsidR="00BB2DE4" w:rsidRPr="00B04DA1">
              <w:rPr>
                <w:sz w:val="27"/>
                <w:szCs w:val="27"/>
              </w:rPr>
              <w:t>u</w:t>
            </w:r>
            <w:r w:rsidRPr="00B04DA1">
              <w:rPr>
                <w:sz w:val="27"/>
                <w:szCs w:val="27"/>
              </w:rPr>
              <w:t xml:space="preserve"> būvvalžu darba organizāciju un</w:t>
            </w:r>
            <w:r w:rsidR="00A91206" w:rsidRPr="00B04DA1">
              <w:rPr>
                <w:sz w:val="27"/>
                <w:szCs w:val="27"/>
              </w:rPr>
              <w:t>, ņemot vērā Būvniecības likuma 18. un 21. panta piemērošanas praksē konstatētās neskaidrības</w:t>
            </w:r>
            <w:r w:rsidR="00BB2DE4" w:rsidRPr="00B04DA1">
              <w:rPr>
                <w:sz w:val="27"/>
                <w:szCs w:val="27"/>
              </w:rPr>
              <w:t xml:space="preserve">, </w:t>
            </w:r>
            <w:r w:rsidR="00A91206" w:rsidRPr="00B04DA1">
              <w:rPr>
                <w:sz w:val="27"/>
                <w:szCs w:val="27"/>
              </w:rPr>
              <w:t xml:space="preserve">ar likumprojektu </w:t>
            </w:r>
            <w:r w:rsidR="00BB2DE4" w:rsidRPr="00B04DA1">
              <w:rPr>
                <w:sz w:val="27"/>
                <w:szCs w:val="27"/>
              </w:rPr>
              <w:t>tiek</w:t>
            </w:r>
            <w:r w:rsidR="00A91206" w:rsidRPr="00B04DA1">
              <w:rPr>
                <w:sz w:val="27"/>
                <w:szCs w:val="27"/>
              </w:rPr>
              <w:t xml:space="preserve"> noteikt, ka būvvalde var pilnvarot tās būvinspektoru pieņemt tās vārdā būvniecības jomas administratīvos aktus (sk. Būvniecības likuma </w:t>
            </w:r>
            <w:r w:rsidRPr="00B04DA1">
              <w:rPr>
                <w:sz w:val="27"/>
                <w:szCs w:val="27"/>
              </w:rPr>
              <w:t>12. panta septīto</w:t>
            </w:r>
            <w:r w:rsidR="00A91206" w:rsidRPr="00B04DA1">
              <w:rPr>
                <w:sz w:val="27"/>
                <w:szCs w:val="27"/>
              </w:rPr>
              <w:t xml:space="preserve"> daļa).</w:t>
            </w:r>
          </w:p>
          <w:p w14:paraId="781378AD" w14:textId="77777777" w:rsidR="00A91206" w:rsidRPr="00B04DA1" w:rsidRDefault="00A91206" w:rsidP="004C6025">
            <w:pPr>
              <w:jc w:val="both"/>
              <w:rPr>
                <w:sz w:val="27"/>
                <w:szCs w:val="27"/>
              </w:rPr>
            </w:pPr>
          </w:p>
          <w:p w14:paraId="6C21B08A" w14:textId="36F91B0D" w:rsidR="005F7CB3" w:rsidRPr="00B04DA1" w:rsidRDefault="003E1BEF" w:rsidP="004C6025">
            <w:pPr>
              <w:jc w:val="both"/>
              <w:rPr>
                <w:sz w:val="27"/>
                <w:szCs w:val="27"/>
              </w:rPr>
            </w:pPr>
            <w:r w:rsidRPr="00B04DA1">
              <w:rPr>
                <w:sz w:val="27"/>
                <w:szCs w:val="27"/>
              </w:rPr>
              <w:t>[3] </w:t>
            </w:r>
            <w:r w:rsidR="008F3314" w:rsidRPr="00B04DA1">
              <w:rPr>
                <w:sz w:val="27"/>
                <w:szCs w:val="27"/>
              </w:rPr>
              <w:t>Būvniecības valsts kontroles birojs (turpmāk – BVKB)</w:t>
            </w:r>
            <w:r w:rsidR="00586A1F" w:rsidRPr="00B04DA1">
              <w:rPr>
                <w:sz w:val="27"/>
                <w:szCs w:val="27"/>
              </w:rPr>
              <w:t xml:space="preserve"> nodrošina </w:t>
            </w:r>
            <w:r w:rsidR="00EE7F79" w:rsidRPr="00B04DA1">
              <w:rPr>
                <w:sz w:val="27"/>
                <w:szCs w:val="27"/>
              </w:rPr>
              <w:t>publisku ēku (paredzēts vienlaikus uzturēties vairāk nekā 100 cilvēkiem</w:t>
            </w:r>
            <w:r w:rsidR="008B27B4" w:rsidRPr="00B04DA1">
              <w:rPr>
                <w:sz w:val="27"/>
                <w:szCs w:val="27"/>
              </w:rPr>
              <w:t xml:space="preserve"> – trešās grupas ēka</w:t>
            </w:r>
            <w:r w:rsidR="00EE7F79" w:rsidRPr="00B04DA1">
              <w:rPr>
                <w:sz w:val="27"/>
                <w:szCs w:val="27"/>
              </w:rPr>
              <w:t xml:space="preserve">) </w:t>
            </w:r>
            <w:r w:rsidR="00586A1F" w:rsidRPr="00B04DA1">
              <w:rPr>
                <w:sz w:val="27"/>
                <w:szCs w:val="27"/>
              </w:rPr>
              <w:t>ekspl</w:t>
            </w:r>
            <w:r w:rsidR="008F3314" w:rsidRPr="00B04DA1">
              <w:rPr>
                <w:sz w:val="27"/>
                <w:szCs w:val="27"/>
              </w:rPr>
              <w:t xml:space="preserve">uatācijas kontroli, tomēr </w:t>
            </w:r>
            <w:r w:rsidR="00586A1F" w:rsidRPr="00B04DA1">
              <w:rPr>
                <w:sz w:val="27"/>
                <w:szCs w:val="27"/>
              </w:rPr>
              <w:t>ti</w:t>
            </w:r>
            <w:r w:rsidR="008B27B4" w:rsidRPr="00B04DA1">
              <w:rPr>
                <w:sz w:val="27"/>
                <w:szCs w:val="27"/>
              </w:rPr>
              <w:t xml:space="preserve">kai jaunas būvniecības un pārbūves </w:t>
            </w:r>
            <w:r w:rsidR="00586A1F" w:rsidRPr="00B04DA1">
              <w:rPr>
                <w:sz w:val="27"/>
                <w:szCs w:val="27"/>
              </w:rPr>
              <w:t xml:space="preserve">gadījumos tiek veikta šādu ēku </w:t>
            </w:r>
            <w:r w:rsidR="00586A1F" w:rsidRPr="00B04DA1">
              <w:rPr>
                <w:sz w:val="27"/>
                <w:szCs w:val="27"/>
              </w:rPr>
              <w:lastRenderedPageBreak/>
              <w:t>būvdarbu kontrole</w:t>
            </w:r>
            <w:r w:rsidR="00DA736A" w:rsidRPr="00B04DA1">
              <w:rPr>
                <w:sz w:val="27"/>
                <w:szCs w:val="27"/>
              </w:rPr>
              <w:t xml:space="preserve"> no BVKB puses</w:t>
            </w:r>
            <w:r w:rsidR="00586A1F" w:rsidRPr="00B04DA1">
              <w:rPr>
                <w:sz w:val="27"/>
                <w:szCs w:val="27"/>
              </w:rPr>
              <w:t>. Šī regulējuma piemērošan</w:t>
            </w:r>
            <w:r w:rsidR="00C86437" w:rsidRPr="00B04DA1">
              <w:rPr>
                <w:sz w:val="27"/>
                <w:szCs w:val="27"/>
              </w:rPr>
              <w:t>ā</w:t>
            </w:r>
            <w:r w:rsidR="00586A1F" w:rsidRPr="00B04DA1">
              <w:rPr>
                <w:sz w:val="27"/>
                <w:szCs w:val="27"/>
              </w:rPr>
              <w:t xml:space="preserve"> praksē ir kons</w:t>
            </w:r>
            <w:r w:rsidR="008B27B4" w:rsidRPr="00B04DA1">
              <w:rPr>
                <w:sz w:val="27"/>
                <w:szCs w:val="27"/>
              </w:rPr>
              <w:t xml:space="preserve">tatēti vairāki gadījumi, kuros </w:t>
            </w:r>
            <w:r w:rsidR="00586A1F" w:rsidRPr="00B04DA1">
              <w:rPr>
                <w:sz w:val="27"/>
                <w:szCs w:val="27"/>
              </w:rPr>
              <w:t xml:space="preserve">būvniecības ieceres dokumentos tiek norādīts, ka tiek plānots veikt </w:t>
            </w:r>
            <w:r w:rsidR="008B27B4" w:rsidRPr="00B04DA1">
              <w:rPr>
                <w:sz w:val="27"/>
                <w:szCs w:val="27"/>
              </w:rPr>
              <w:t>publiskās</w:t>
            </w:r>
            <w:r w:rsidR="00586A1F" w:rsidRPr="00B04DA1">
              <w:rPr>
                <w:sz w:val="27"/>
                <w:szCs w:val="27"/>
              </w:rPr>
              <w:t xml:space="preserve"> ēkas atjaunošanu, nevis pārbūvi, kaut arī pēc detalizētas būvniecības ieceres izpētes ir konstatēts, ka faktiski bija veikta pārbūve. Tam par iemeslu atsevišķos gadījumos </w:t>
            </w:r>
            <w:r w:rsidR="008B27B4" w:rsidRPr="00B04DA1">
              <w:rPr>
                <w:sz w:val="27"/>
                <w:szCs w:val="27"/>
              </w:rPr>
              <w:t>ir</w:t>
            </w:r>
            <w:r w:rsidR="00586A1F" w:rsidRPr="00B04DA1">
              <w:rPr>
                <w:sz w:val="27"/>
                <w:szCs w:val="27"/>
              </w:rPr>
              <w:t xml:space="preserve"> neskaidrā robeža starp jēdzieniem „atjaunoš</w:t>
            </w:r>
            <w:r w:rsidR="008B27B4" w:rsidRPr="00B04DA1">
              <w:rPr>
                <w:sz w:val="27"/>
                <w:szCs w:val="27"/>
              </w:rPr>
              <w:t xml:space="preserve">ana” un „pārbūve”. </w:t>
            </w:r>
            <w:r w:rsidR="00DD20F3" w:rsidRPr="00B04DA1">
              <w:rPr>
                <w:sz w:val="27"/>
                <w:szCs w:val="27"/>
              </w:rPr>
              <w:t>Lai sasniegtu</w:t>
            </w:r>
            <w:r w:rsidR="00EF5DA8" w:rsidRPr="00B04DA1">
              <w:rPr>
                <w:sz w:val="27"/>
                <w:szCs w:val="27"/>
              </w:rPr>
              <w:t xml:space="preserve"> sākotnējo likumdevēja ieceri</w:t>
            </w:r>
            <w:r w:rsidR="00586A1F" w:rsidRPr="00B04DA1">
              <w:rPr>
                <w:sz w:val="27"/>
                <w:szCs w:val="27"/>
              </w:rPr>
              <w:t xml:space="preserve"> veikt pastiprinātu </w:t>
            </w:r>
            <w:r w:rsidR="00EF5DA8" w:rsidRPr="00B04DA1">
              <w:rPr>
                <w:sz w:val="27"/>
                <w:szCs w:val="27"/>
              </w:rPr>
              <w:t xml:space="preserve">publisku ēku būvdarbu </w:t>
            </w:r>
            <w:r w:rsidR="00586A1F" w:rsidRPr="00B04DA1">
              <w:rPr>
                <w:sz w:val="27"/>
                <w:szCs w:val="27"/>
              </w:rPr>
              <w:t xml:space="preserve">kontroli, </w:t>
            </w:r>
            <w:r w:rsidR="00A77386" w:rsidRPr="00B04DA1">
              <w:rPr>
                <w:sz w:val="27"/>
                <w:szCs w:val="27"/>
              </w:rPr>
              <w:t>jā</w:t>
            </w:r>
            <w:r w:rsidR="00586A1F" w:rsidRPr="00B04DA1">
              <w:rPr>
                <w:sz w:val="27"/>
                <w:szCs w:val="27"/>
              </w:rPr>
              <w:t>nosak</w:t>
            </w:r>
            <w:r w:rsidR="00A77386" w:rsidRPr="00B04DA1">
              <w:rPr>
                <w:sz w:val="27"/>
                <w:szCs w:val="27"/>
              </w:rPr>
              <w:t>a</w:t>
            </w:r>
            <w:r w:rsidR="00586A1F" w:rsidRPr="00B04DA1">
              <w:rPr>
                <w:sz w:val="27"/>
                <w:szCs w:val="27"/>
              </w:rPr>
              <w:t>, ka</w:t>
            </w:r>
            <w:r w:rsidR="00160610" w:rsidRPr="00B04DA1">
              <w:rPr>
                <w:sz w:val="27"/>
                <w:szCs w:val="27"/>
              </w:rPr>
              <w:t xml:space="preserve"> BVKB veic visu būvdarbu kontroli</w:t>
            </w:r>
            <w:r w:rsidR="00586A1F" w:rsidRPr="00B04DA1">
              <w:rPr>
                <w:sz w:val="27"/>
                <w:szCs w:val="27"/>
              </w:rPr>
              <w:t xml:space="preserve"> </w:t>
            </w:r>
            <w:r w:rsidR="00160610" w:rsidRPr="00B04DA1">
              <w:rPr>
                <w:sz w:val="27"/>
                <w:szCs w:val="27"/>
              </w:rPr>
              <w:t>publiskās</w:t>
            </w:r>
            <w:r w:rsidR="00EF5DA8" w:rsidRPr="00B04DA1">
              <w:rPr>
                <w:sz w:val="27"/>
                <w:szCs w:val="27"/>
              </w:rPr>
              <w:t xml:space="preserve"> </w:t>
            </w:r>
            <w:r w:rsidR="00586A1F" w:rsidRPr="00B04DA1">
              <w:rPr>
                <w:sz w:val="27"/>
                <w:szCs w:val="27"/>
              </w:rPr>
              <w:t>ēk</w:t>
            </w:r>
            <w:r w:rsidR="00160610" w:rsidRPr="00B04DA1">
              <w:rPr>
                <w:sz w:val="27"/>
                <w:szCs w:val="27"/>
              </w:rPr>
              <w:t>ās</w:t>
            </w:r>
            <w:r w:rsidR="00586A1F" w:rsidRPr="00B04DA1">
              <w:rPr>
                <w:sz w:val="27"/>
                <w:szCs w:val="27"/>
              </w:rPr>
              <w:t xml:space="preserve"> </w:t>
            </w:r>
            <w:r w:rsidR="00A33092" w:rsidRPr="00B04DA1">
              <w:rPr>
                <w:sz w:val="27"/>
                <w:szCs w:val="27"/>
              </w:rPr>
              <w:t>(grozījumi Būvniecības likuma 6.</w:t>
            </w:r>
            <w:r w:rsidR="00A33092" w:rsidRPr="00B04DA1">
              <w:rPr>
                <w:sz w:val="27"/>
                <w:szCs w:val="27"/>
                <w:vertAlign w:val="superscript"/>
              </w:rPr>
              <w:t>1</w:t>
            </w:r>
            <w:r w:rsidR="00A33092" w:rsidRPr="00B04DA1">
              <w:rPr>
                <w:sz w:val="27"/>
                <w:szCs w:val="27"/>
              </w:rPr>
              <w:t> panta pirmās daļas 1. punkta „a” apakšpunktā)</w:t>
            </w:r>
            <w:r w:rsidR="00586A1F" w:rsidRPr="00B04DA1">
              <w:rPr>
                <w:sz w:val="27"/>
                <w:szCs w:val="27"/>
              </w:rPr>
              <w:t xml:space="preserve">. </w:t>
            </w:r>
            <w:r w:rsidR="00EF5DA8" w:rsidRPr="00B04DA1">
              <w:rPr>
                <w:sz w:val="27"/>
                <w:szCs w:val="27"/>
              </w:rPr>
              <w:t>G</w:t>
            </w:r>
            <w:r w:rsidR="00586A1F" w:rsidRPr="00B04DA1">
              <w:rPr>
                <w:sz w:val="27"/>
                <w:szCs w:val="27"/>
              </w:rPr>
              <w:t xml:space="preserve">adījumā, ja būvvalde būs </w:t>
            </w:r>
            <w:r w:rsidR="00DD20F3" w:rsidRPr="00B04DA1">
              <w:rPr>
                <w:sz w:val="27"/>
                <w:szCs w:val="27"/>
              </w:rPr>
              <w:t xml:space="preserve">pati </w:t>
            </w:r>
            <w:r w:rsidR="00586A1F" w:rsidRPr="00B04DA1">
              <w:rPr>
                <w:sz w:val="27"/>
                <w:szCs w:val="27"/>
              </w:rPr>
              <w:t>uzsākusi publiskas ēkas atjaunošanas</w:t>
            </w:r>
            <w:r w:rsidR="0041507D" w:rsidRPr="00B04DA1">
              <w:rPr>
                <w:sz w:val="27"/>
                <w:szCs w:val="27"/>
              </w:rPr>
              <w:t>, vienkāršotās atjaunošanas, konservācijas vai citu</w:t>
            </w:r>
            <w:r w:rsidR="00586A1F" w:rsidRPr="00B04DA1">
              <w:rPr>
                <w:sz w:val="27"/>
                <w:szCs w:val="27"/>
              </w:rPr>
              <w:t xml:space="preserve"> </w:t>
            </w:r>
            <w:r w:rsidR="00EF5DA8" w:rsidRPr="00B04DA1">
              <w:rPr>
                <w:sz w:val="27"/>
                <w:szCs w:val="27"/>
              </w:rPr>
              <w:t xml:space="preserve">būvdarbu </w:t>
            </w:r>
            <w:r w:rsidR="00586A1F" w:rsidRPr="00B04DA1">
              <w:rPr>
                <w:sz w:val="27"/>
                <w:szCs w:val="27"/>
              </w:rPr>
              <w:t>kontroli līdz plānotās tiesību normas spēkā stāšanās dienai, tad lieta nebūs jānodod BVKB</w:t>
            </w:r>
            <w:r w:rsidR="00A33092" w:rsidRPr="00B04DA1">
              <w:rPr>
                <w:sz w:val="27"/>
                <w:szCs w:val="27"/>
              </w:rPr>
              <w:t xml:space="preserve"> (sk. likumprojekta </w:t>
            </w:r>
            <w:r w:rsidR="00253127" w:rsidRPr="00B04DA1">
              <w:rPr>
                <w:sz w:val="27"/>
                <w:szCs w:val="27"/>
              </w:rPr>
              <w:t>1</w:t>
            </w:r>
            <w:r w:rsidR="008F3314" w:rsidRPr="00B04DA1">
              <w:rPr>
                <w:sz w:val="27"/>
                <w:szCs w:val="27"/>
              </w:rPr>
              <w:t>9</w:t>
            </w:r>
            <w:r w:rsidR="0041507D" w:rsidRPr="00B04DA1">
              <w:rPr>
                <w:sz w:val="27"/>
                <w:szCs w:val="27"/>
              </w:rPr>
              <w:t>. pantu</w:t>
            </w:r>
            <w:r w:rsidR="00A33092" w:rsidRPr="00B04DA1">
              <w:rPr>
                <w:sz w:val="27"/>
                <w:szCs w:val="27"/>
              </w:rPr>
              <w:t>)</w:t>
            </w:r>
            <w:r w:rsidR="00586A1F" w:rsidRPr="00B04DA1">
              <w:rPr>
                <w:sz w:val="27"/>
                <w:szCs w:val="27"/>
              </w:rPr>
              <w:t>.</w:t>
            </w:r>
            <w:r w:rsidR="00A33092" w:rsidRPr="00B04DA1">
              <w:rPr>
                <w:sz w:val="27"/>
                <w:szCs w:val="27"/>
              </w:rPr>
              <w:t xml:space="preserve"> </w:t>
            </w:r>
            <w:r w:rsidR="0041507D" w:rsidRPr="00B04DA1">
              <w:rPr>
                <w:sz w:val="27"/>
                <w:szCs w:val="27"/>
              </w:rPr>
              <w:t xml:space="preserve"> </w:t>
            </w:r>
          </w:p>
          <w:p w14:paraId="0C4D2B79" w14:textId="7489BD5B" w:rsidR="00160610" w:rsidRPr="00B04DA1" w:rsidRDefault="00160610" w:rsidP="004C6025">
            <w:pPr>
              <w:jc w:val="both"/>
              <w:rPr>
                <w:sz w:val="27"/>
                <w:szCs w:val="27"/>
              </w:rPr>
            </w:pPr>
          </w:p>
          <w:p w14:paraId="63324358" w14:textId="77777777" w:rsidR="00160610" w:rsidRPr="00B04DA1" w:rsidRDefault="00160610" w:rsidP="004C6025">
            <w:pPr>
              <w:jc w:val="both"/>
              <w:rPr>
                <w:sz w:val="27"/>
                <w:szCs w:val="27"/>
              </w:rPr>
            </w:pPr>
          </w:p>
          <w:p w14:paraId="6B864CBE" w14:textId="578A13C6" w:rsidR="008B27B4" w:rsidRPr="00B04DA1" w:rsidRDefault="008B27B4" w:rsidP="004C6025">
            <w:pPr>
              <w:jc w:val="both"/>
              <w:rPr>
                <w:sz w:val="27"/>
                <w:szCs w:val="27"/>
              </w:rPr>
            </w:pPr>
          </w:p>
          <w:p w14:paraId="048263D9" w14:textId="708A7598" w:rsidR="00352137" w:rsidRPr="00B04DA1" w:rsidRDefault="00A77386" w:rsidP="004C6025">
            <w:pPr>
              <w:jc w:val="both"/>
              <w:rPr>
                <w:sz w:val="27"/>
                <w:szCs w:val="27"/>
              </w:rPr>
            </w:pPr>
            <w:r w:rsidRPr="00B04DA1">
              <w:rPr>
                <w:sz w:val="27"/>
                <w:szCs w:val="27"/>
              </w:rPr>
              <w:t>Likumprojektā tiek pārskatīti</w:t>
            </w:r>
            <w:r w:rsidR="00352137" w:rsidRPr="00B04DA1">
              <w:rPr>
                <w:sz w:val="27"/>
                <w:szCs w:val="27"/>
              </w:rPr>
              <w:t xml:space="preserve"> BVKB Būvniecības likumā noteikt</w:t>
            </w:r>
            <w:r w:rsidRPr="00B04DA1">
              <w:rPr>
                <w:sz w:val="27"/>
                <w:szCs w:val="27"/>
              </w:rPr>
              <w:t>ie</w:t>
            </w:r>
            <w:r w:rsidR="00352137" w:rsidRPr="00B04DA1">
              <w:rPr>
                <w:sz w:val="27"/>
                <w:szCs w:val="27"/>
              </w:rPr>
              <w:t xml:space="preserve"> uzdevum</w:t>
            </w:r>
            <w:r w:rsidRPr="00B04DA1">
              <w:rPr>
                <w:sz w:val="27"/>
                <w:szCs w:val="27"/>
              </w:rPr>
              <w:t>i</w:t>
            </w:r>
            <w:r w:rsidR="00352137" w:rsidRPr="00B04DA1">
              <w:rPr>
                <w:sz w:val="27"/>
                <w:szCs w:val="27"/>
              </w:rPr>
              <w:t xml:space="preserve">, lai nodrošinātu svarīgāko uzdevumu izpildei pietiekamus resursus. </w:t>
            </w:r>
            <w:r w:rsidR="00025AB3" w:rsidRPr="00B04DA1">
              <w:rPr>
                <w:sz w:val="27"/>
                <w:szCs w:val="27"/>
              </w:rPr>
              <w:t>Lielas būvdarbu izmaksas pašas par sevi nenozīmē, ka b</w:t>
            </w:r>
            <w:r w:rsidR="0030068E" w:rsidRPr="00B04DA1">
              <w:rPr>
                <w:sz w:val="27"/>
                <w:szCs w:val="27"/>
              </w:rPr>
              <w:t>ūvdarbu laikā</w:t>
            </w:r>
            <w:r w:rsidR="00025AB3" w:rsidRPr="00B04DA1">
              <w:rPr>
                <w:sz w:val="27"/>
                <w:szCs w:val="27"/>
              </w:rPr>
              <w:t xml:space="preserve"> tiks uzbūvēta sarežģīta būve vai būve, kuras sabrukšana vai bojājumi var radīt sabiedrības apdraudējumu. </w:t>
            </w:r>
            <w:r w:rsidR="0030068E" w:rsidRPr="00B04DA1">
              <w:rPr>
                <w:sz w:val="27"/>
                <w:szCs w:val="27"/>
              </w:rPr>
              <w:t xml:space="preserve">Ar likumprojektu tiek paredzēts, ka </w:t>
            </w:r>
            <w:r w:rsidR="003455EB" w:rsidRPr="00B04DA1">
              <w:rPr>
                <w:sz w:val="27"/>
                <w:szCs w:val="27"/>
              </w:rPr>
              <w:t>BVKB specializē</w:t>
            </w:r>
            <w:r w:rsidRPr="00B04DA1">
              <w:rPr>
                <w:sz w:val="27"/>
                <w:szCs w:val="27"/>
              </w:rPr>
              <w:t>jas</w:t>
            </w:r>
            <w:r w:rsidR="003455EB" w:rsidRPr="00B04DA1">
              <w:rPr>
                <w:sz w:val="27"/>
                <w:szCs w:val="27"/>
              </w:rPr>
              <w:t xml:space="preserve"> uz sarežģītu </w:t>
            </w:r>
            <w:r w:rsidR="0030068E" w:rsidRPr="00B04DA1">
              <w:rPr>
                <w:sz w:val="27"/>
                <w:szCs w:val="27"/>
              </w:rPr>
              <w:t xml:space="preserve">būvju </w:t>
            </w:r>
            <w:r w:rsidR="003455EB" w:rsidRPr="00B04DA1">
              <w:rPr>
                <w:sz w:val="27"/>
                <w:szCs w:val="27"/>
              </w:rPr>
              <w:t xml:space="preserve">vai </w:t>
            </w:r>
            <w:r w:rsidR="0030068E" w:rsidRPr="00B04DA1">
              <w:rPr>
                <w:sz w:val="27"/>
                <w:szCs w:val="27"/>
              </w:rPr>
              <w:t xml:space="preserve">būvju, kuras sabrukšana vai bojājumi var radīt sabiedrības apdraudējumu, </w:t>
            </w:r>
            <w:r w:rsidR="003455EB" w:rsidRPr="00B04DA1">
              <w:rPr>
                <w:sz w:val="27"/>
                <w:szCs w:val="27"/>
              </w:rPr>
              <w:t>būvdarbu kontroli. B</w:t>
            </w:r>
            <w:r w:rsidR="0010728A" w:rsidRPr="00B04DA1">
              <w:rPr>
                <w:sz w:val="27"/>
                <w:szCs w:val="27"/>
              </w:rPr>
              <w:t>VKB pildīs</w:t>
            </w:r>
            <w:r w:rsidR="003455EB" w:rsidRPr="00B04DA1">
              <w:rPr>
                <w:sz w:val="27"/>
                <w:szCs w:val="27"/>
              </w:rPr>
              <w:t xml:space="preserve"> būvvaldes funkcijas attiecībā uz būvju būvniecību Latvijas Republikas iekšējās jūras ūdeņos, teritoriālajā jūrā un </w:t>
            </w:r>
            <w:r w:rsidR="0010728A" w:rsidRPr="00B04DA1">
              <w:rPr>
                <w:sz w:val="27"/>
                <w:szCs w:val="27"/>
              </w:rPr>
              <w:t xml:space="preserve">ekskluzīvajā ekonomiskajā zonā, bet neveiks jaunas </w:t>
            </w:r>
            <w:r w:rsidR="002600BD" w:rsidRPr="00B04DA1">
              <w:rPr>
                <w:sz w:val="27"/>
                <w:szCs w:val="27"/>
              </w:rPr>
              <w:t>būves vai esošu būvju pārbūves (</w:t>
            </w:r>
            <w:r w:rsidR="0010728A" w:rsidRPr="00B04DA1">
              <w:rPr>
                <w:sz w:val="27"/>
                <w:szCs w:val="27"/>
              </w:rPr>
              <w:t>kuru ieceres būvniecības ierosinātājs</w:t>
            </w:r>
            <w:r w:rsidR="002600BD" w:rsidRPr="00B04DA1">
              <w:rPr>
                <w:sz w:val="27"/>
                <w:szCs w:val="27"/>
              </w:rPr>
              <w:t xml:space="preserve"> ir pašvaldība, </w:t>
            </w:r>
            <w:r w:rsidR="0010728A" w:rsidRPr="00B04DA1">
              <w:rPr>
                <w:sz w:val="27"/>
                <w:szCs w:val="27"/>
              </w:rPr>
              <w:t xml:space="preserve">ja publisku būvdarbu līguma līgumcena ir 1,5 miljoni </w:t>
            </w:r>
            <w:proofErr w:type="spellStart"/>
            <w:r w:rsidR="0010728A" w:rsidRPr="00B04DA1">
              <w:rPr>
                <w:sz w:val="27"/>
                <w:szCs w:val="27"/>
              </w:rPr>
              <w:t>euro</w:t>
            </w:r>
            <w:proofErr w:type="spellEnd"/>
            <w:r w:rsidR="0010728A" w:rsidRPr="00B04DA1">
              <w:rPr>
                <w:sz w:val="27"/>
                <w:szCs w:val="27"/>
              </w:rPr>
              <w:t xml:space="preserve"> vai lielāka) būvdarbu kontroli. </w:t>
            </w:r>
            <w:r w:rsidR="003455EB" w:rsidRPr="00B04DA1">
              <w:rPr>
                <w:sz w:val="27"/>
                <w:szCs w:val="27"/>
              </w:rPr>
              <w:t xml:space="preserve"> Ievērojot iepriekš minēto</w:t>
            </w:r>
            <w:r w:rsidR="001D01BC" w:rsidRPr="00B04DA1">
              <w:rPr>
                <w:sz w:val="27"/>
                <w:szCs w:val="27"/>
              </w:rPr>
              <w:t>, likumprojektā</w:t>
            </w:r>
            <w:r w:rsidR="003455EB" w:rsidRPr="00B04DA1">
              <w:rPr>
                <w:sz w:val="27"/>
                <w:szCs w:val="27"/>
              </w:rPr>
              <w:t xml:space="preserve"> ir paredzēts grozīt 6.</w:t>
            </w:r>
            <w:r w:rsidR="003455EB" w:rsidRPr="00B04DA1">
              <w:rPr>
                <w:sz w:val="27"/>
                <w:szCs w:val="27"/>
                <w:vertAlign w:val="superscript"/>
              </w:rPr>
              <w:t>1</w:t>
            </w:r>
            <w:r w:rsidR="003455EB" w:rsidRPr="00B04DA1">
              <w:rPr>
                <w:sz w:val="27"/>
                <w:szCs w:val="27"/>
              </w:rPr>
              <w:t> panta pirmās daļas 1.</w:t>
            </w:r>
            <w:r w:rsidR="003455EB" w:rsidRPr="00B04DA1">
              <w:rPr>
                <w:sz w:val="27"/>
                <w:szCs w:val="27"/>
                <w:vertAlign w:val="superscript"/>
              </w:rPr>
              <w:t>1</w:t>
            </w:r>
            <w:r w:rsidR="003455EB" w:rsidRPr="00B04DA1">
              <w:rPr>
                <w:sz w:val="27"/>
                <w:szCs w:val="27"/>
              </w:rPr>
              <w:t xml:space="preserve"> punktu un svītrot šīs daļas 1.punkta „c” </w:t>
            </w:r>
            <w:r w:rsidR="003455EB" w:rsidRPr="00B04DA1">
              <w:rPr>
                <w:sz w:val="27"/>
                <w:szCs w:val="27"/>
              </w:rPr>
              <w:lastRenderedPageBreak/>
              <w:t>apakšpunktu.</w:t>
            </w:r>
            <w:r w:rsidR="0010728A" w:rsidRPr="00B04DA1">
              <w:rPr>
                <w:sz w:val="27"/>
                <w:szCs w:val="27"/>
              </w:rPr>
              <w:t xml:space="preserve"> BVKB būvniecības kontroli Latvijas Republikas iekšējās jūras ūdeņos, teritoriālajā jūrā un ekskluzīvajā ekonomiskajā zonā un būvvaldes funkcijas attiecībā uz tādu elektropārvades līniju būvniecības ieceri, kurai atbilstoši Teritorijas attīstības plānošanas likumā paredzētajam noteikts nacionāl</w:t>
            </w:r>
            <w:r w:rsidR="002600BD" w:rsidRPr="00B04DA1">
              <w:rPr>
                <w:sz w:val="27"/>
                <w:szCs w:val="27"/>
              </w:rPr>
              <w:t>o interešu objekta statuss, veiks</w:t>
            </w:r>
            <w:r w:rsidR="0010728A" w:rsidRPr="00B04DA1">
              <w:rPr>
                <w:sz w:val="27"/>
                <w:szCs w:val="27"/>
              </w:rPr>
              <w:t xml:space="preserve"> par maksu. </w:t>
            </w:r>
          </w:p>
          <w:p w14:paraId="193D2126" w14:textId="77777777" w:rsidR="004C6025" w:rsidRPr="00B04DA1" w:rsidRDefault="004C6025" w:rsidP="001B6373">
            <w:pPr>
              <w:rPr>
                <w:sz w:val="27"/>
                <w:szCs w:val="27"/>
              </w:rPr>
            </w:pPr>
          </w:p>
          <w:p w14:paraId="592D73D0" w14:textId="1148BFE3" w:rsidR="003455EB" w:rsidRPr="00B04DA1" w:rsidRDefault="00F9083A" w:rsidP="003455EB">
            <w:pPr>
              <w:jc w:val="both"/>
              <w:rPr>
                <w:sz w:val="27"/>
                <w:szCs w:val="27"/>
              </w:rPr>
            </w:pPr>
            <w:r w:rsidRPr="00B04DA1">
              <w:rPr>
                <w:sz w:val="27"/>
                <w:szCs w:val="27"/>
              </w:rPr>
              <w:t>Ņ</w:t>
            </w:r>
            <w:r w:rsidR="003455EB" w:rsidRPr="00B04DA1">
              <w:rPr>
                <w:sz w:val="27"/>
                <w:szCs w:val="27"/>
              </w:rPr>
              <w:t xml:space="preserve">emot vērā BVKB specializāciju attiecībā uz sarežģītu un sabiedrībai bīstamu būvju kontroli, tiek pārskatīts arī regulējums </w:t>
            </w:r>
            <w:r w:rsidR="002600BD" w:rsidRPr="00B04DA1">
              <w:rPr>
                <w:sz w:val="27"/>
                <w:szCs w:val="27"/>
              </w:rPr>
              <w:t>p</w:t>
            </w:r>
            <w:r w:rsidR="003455EB" w:rsidRPr="00B04DA1">
              <w:rPr>
                <w:sz w:val="27"/>
                <w:szCs w:val="27"/>
              </w:rPr>
              <w:t>ar metodisko palīdzību. Likumprojektā ir noteikts, ka BVKB metodisko palīdzību sniegs pašvaldībām saistībā ar būvdarbu kontroli un būvju pieņemšanu ekspluatācijā. Tas risinās līdzšinējo situ</w:t>
            </w:r>
            <w:r w:rsidR="00A82BC9" w:rsidRPr="00B04DA1">
              <w:rPr>
                <w:sz w:val="27"/>
                <w:szCs w:val="27"/>
              </w:rPr>
              <w:t>āciju, kurā daudzas personas pa</w:t>
            </w:r>
            <w:r w:rsidR="003455EB" w:rsidRPr="00B04DA1">
              <w:rPr>
                <w:sz w:val="27"/>
                <w:szCs w:val="27"/>
              </w:rPr>
              <w:t xml:space="preserve">stāvīgi lūdz sniegt BVKB viedokli par </w:t>
            </w:r>
            <w:r w:rsidRPr="00B04DA1">
              <w:rPr>
                <w:sz w:val="27"/>
                <w:szCs w:val="27"/>
              </w:rPr>
              <w:t xml:space="preserve">jebkuriem ar </w:t>
            </w:r>
            <w:r w:rsidR="003455EB" w:rsidRPr="00B04DA1">
              <w:rPr>
                <w:sz w:val="27"/>
                <w:szCs w:val="27"/>
              </w:rPr>
              <w:t>būvniecīb</w:t>
            </w:r>
            <w:r w:rsidRPr="00B04DA1">
              <w:rPr>
                <w:sz w:val="27"/>
                <w:szCs w:val="27"/>
              </w:rPr>
              <w:t>u</w:t>
            </w:r>
            <w:r w:rsidR="00DC32AC" w:rsidRPr="00B04DA1">
              <w:rPr>
                <w:sz w:val="27"/>
                <w:szCs w:val="27"/>
              </w:rPr>
              <w:t xml:space="preserve"> </w:t>
            </w:r>
            <w:r w:rsidR="0012231F" w:rsidRPr="00B04DA1">
              <w:rPr>
                <w:sz w:val="27"/>
                <w:szCs w:val="27"/>
              </w:rPr>
              <w:t xml:space="preserve">vai mājokļiem </w:t>
            </w:r>
            <w:r w:rsidRPr="00B04DA1">
              <w:rPr>
                <w:sz w:val="27"/>
                <w:szCs w:val="27"/>
              </w:rPr>
              <w:t xml:space="preserve"> saistītiem jautājumiem</w:t>
            </w:r>
            <w:r w:rsidR="003455EB" w:rsidRPr="00B04DA1">
              <w:rPr>
                <w:sz w:val="27"/>
                <w:szCs w:val="27"/>
              </w:rPr>
              <w:t xml:space="preserve">. </w:t>
            </w:r>
            <w:r w:rsidR="0012231F" w:rsidRPr="00B04DA1">
              <w:rPr>
                <w:sz w:val="27"/>
                <w:szCs w:val="27"/>
              </w:rPr>
              <w:t>J</w:t>
            </w:r>
            <w:r w:rsidR="003455EB" w:rsidRPr="00B04DA1">
              <w:rPr>
                <w:sz w:val="27"/>
                <w:szCs w:val="27"/>
              </w:rPr>
              <w:t>ānorāda, ka saskaņā ar Būvniecības likuma 6. panta pirmo daļu Ekonomikas ministrija veic būvniecības jomas vispārējo pārraudzību un koordināciju</w:t>
            </w:r>
            <w:r w:rsidR="00D276E5" w:rsidRPr="00B04DA1">
              <w:rPr>
                <w:sz w:val="27"/>
                <w:szCs w:val="27"/>
              </w:rPr>
              <w:t xml:space="preserve">, kā arī saskaņā ar Ministru kabineta 07.04.2009. noteikumu Nr.300 „Ministru kabineta kārtības rullis” 216. punktu gadījumā, </w:t>
            </w:r>
            <w:r w:rsidR="001D01BC" w:rsidRPr="00B04DA1">
              <w:rPr>
                <w:sz w:val="27"/>
                <w:szCs w:val="27"/>
              </w:rPr>
              <w:t>j</w:t>
            </w:r>
            <w:r w:rsidR="00D276E5" w:rsidRPr="00B04DA1">
              <w:rPr>
                <w:sz w:val="27"/>
                <w:szCs w:val="27"/>
              </w:rPr>
              <w:t xml:space="preserve">a nepieciešams, skaidrojumu par Ministru kabineta izdoto tiesību aktu sniedz attiecīgā tiesību akta projekta iesniedzējs – Ekonomikas ministrija būvniecības jomā. Līdzīgi tas attiecas arī </w:t>
            </w:r>
            <w:r w:rsidR="001D01BC" w:rsidRPr="00B04DA1">
              <w:rPr>
                <w:sz w:val="27"/>
                <w:szCs w:val="27"/>
              </w:rPr>
              <w:t xml:space="preserve">uz </w:t>
            </w:r>
            <w:r w:rsidR="00D276E5" w:rsidRPr="00B04DA1">
              <w:rPr>
                <w:sz w:val="27"/>
                <w:szCs w:val="27"/>
              </w:rPr>
              <w:t>uzdevumu organizē</w:t>
            </w:r>
            <w:r w:rsidR="001D01BC" w:rsidRPr="00B04DA1">
              <w:rPr>
                <w:sz w:val="27"/>
                <w:szCs w:val="27"/>
              </w:rPr>
              <w:t>t</w:t>
            </w:r>
            <w:r w:rsidR="00D276E5" w:rsidRPr="00B04DA1">
              <w:rPr>
                <w:sz w:val="27"/>
                <w:szCs w:val="27"/>
              </w:rPr>
              <w:t xml:space="preserve"> būvniecības procesā iesaistīto uzraudzības un kontroles iestāžu un nevalstisko organizāciju sadarbību, lai veicinātu </w:t>
            </w:r>
            <w:proofErr w:type="spellStart"/>
            <w:r w:rsidR="00D276E5" w:rsidRPr="00B04DA1">
              <w:rPr>
                <w:sz w:val="27"/>
                <w:szCs w:val="27"/>
              </w:rPr>
              <w:t>būvspeciālistu</w:t>
            </w:r>
            <w:proofErr w:type="spellEnd"/>
            <w:r w:rsidR="00D276E5" w:rsidRPr="00B04DA1">
              <w:rPr>
                <w:sz w:val="27"/>
                <w:szCs w:val="27"/>
              </w:rPr>
              <w:t xml:space="preserve"> profesionālās kompetences paaugstināšanu. </w:t>
            </w:r>
            <w:r w:rsidR="00367C3A" w:rsidRPr="00B04DA1">
              <w:rPr>
                <w:sz w:val="27"/>
                <w:szCs w:val="27"/>
              </w:rPr>
              <w:t xml:space="preserve">Būvvaldes kompetencē ir </w:t>
            </w:r>
            <w:r w:rsidR="00D13051" w:rsidRPr="00B04DA1">
              <w:rPr>
                <w:sz w:val="27"/>
                <w:szCs w:val="27"/>
              </w:rPr>
              <w:t xml:space="preserve">sniegt </w:t>
            </w:r>
            <w:r w:rsidR="00367C3A" w:rsidRPr="00B04DA1">
              <w:rPr>
                <w:sz w:val="27"/>
                <w:szCs w:val="27"/>
              </w:rPr>
              <w:t>konsultācijas par būvniecības administratīvā procesa kārtību un ziņas par teritorijas izmantošanas un apbūves nosacījumiem</w:t>
            </w:r>
            <w:r w:rsidR="00F76F8E" w:rsidRPr="00B04DA1">
              <w:rPr>
                <w:sz w:val="27"/>
                <w:szCs w:val="27"/>
              </w:rPr>
              <w:t xml:space="preserve">. </w:t>
            </w:r>
            <w:r w:rsidR="00D276E5" w:rsidRPr="00B04DA1">
              <w:rPr>
                <w:sz w:val="27"/>
                <w:szCs w:val="27"/>
              </w:rPr>
              <w:t>Lai novērstu iespējamās neskaidrības kompetenču sadalījumā, likumprojektā ir paredzēts izslēgt 6.</w:t>
            </w:r>
            <w:r w:rsidR="00D276E5" w:rsidRPr="00B04DA1">
              <w:rPr>
                <w:sz w:val="27"/>
                <w:szCs w:val="27"/>
                <w:vertAlign w:val="superscript"/>
              </w:rPr>
              <w:t>1</w:t>
            </w:r>
            <w:r w:rsidR="00D276E5" w:rsidRPr="00B04DA1">
              <w:rPr>
                <w:sz w:val="27"/>
                <w:szCs w:val="27"/>
              </w:rPr>
              <w:t> panta pirmās daļas 5., 7. un 8. punktu un izteikt šīs daļas 6. punktu jaunā redakcijā.</w:t>
            </w:r>
          </w:p>
          <w:p w14:paraId="3BABC6F6" w14:textId="77777777" w:rsidR="0010728A" w:rsidRPr="00B04DA1" w:rsidRDefault="0010728A" w:rsidP="003455EB">
            <w:pPr>
              <w:jc w:val="both"/>
              <w:rPr>
                <w:sz w:val="27"/>
                <w:szCs w:val="27"/>
              </w:rPr>
            </w:pPr>
          </w:p>
          <w:p w14:paraId="6CF15FD2" w14:textId="4C296793" w:rsidR="006A567C" w:rsidRPr="00B04DA1" w:rsidRDefault="00204D75" w:rsidP="003455EB">
            <w:pPr>
              <w:jc w:val="both"/>
              <w:rPr>
                <w:sz w:val="27"/>
                <w:szCs w:val="27"/>
              </w:rPr>
            </w:pPr>
            <w:r w:rsidRPr="00B04DA1">
              <w:rPr>
                <w:sz w:val="27"/>
                <w:szCs w:val="27"/>
              </w:rPr>
              <w:t>Uzdevums BVKB organizēt būvprojektu un būvju ekspertīzi Būvniecības likuma 6.</w:t>
            </w:r>
            <w:r w:rsidRPr="00B04DA1">
              <w:rPr>
                <w:sz w:val="27"/>
                <w:szCs w:val="27"/>
                <w:vertAlign w:val="superscript"/>
              </w:rPr>
              <w:t>1</w:t>
            </w:r>
            <w:r w:rsidRPr="00B04DA1">
              <w:rPr>
                <w:sz w:val="27"/>
                <w:szCs w:val="27"/>
              </w:rPr>
              <w:t xml:space="preserve"> panta </w:t>
            </w:r>
            <w:r w:rsidRPr="00B04DA1">
              <w:rPr>
                <w:sz w:val="27"/>
                <w:szCs w:val="27"/>
              </w:rPr>
              <w:lastRenderedPageBreak/>
              <w:t xml:space="preserve">pirmās daļas 4. punktā tika noteikts, ņemot vērā Ministru kabineta 30.03.2004. noteikumu Nr.189 “Valsts būvinspekcijas nolikums” 3.7. apakšpunktā noteikto Valsts būvinspekcijas uzdevumu – organizē būvprojektu, būvdarbu un būvju ekspertīzi. Valsts būvinspekcija, pildot attiecīgo uzdevumu, bija sastādījusi pieejamo ekspertīzes veicēju sarakstu. Šobrīd Būvniecības informācijas sistēmā ir pieejama informācija par visiem </w:t>
            </w:r>
            <w:proofErr w:type="spellStart"/>
            <w:r w:rsidRPr="00B04DA1">
              <w:rPr>
                <w:sz w:val="27"/>
                <w:szCs w:val="27"/>
              </w:rPr>
              <w:t>būvspeciālistiem</w:t>
            </w:r>
            <w:proofErr w:type="spellEnd"/>
            <w:r w:rsidRPr="00B04DA1">
              <w:rPr>
                <w:sz w:val="27"/>
                <w:szCs w:val="27"/>
              </w:rPr>
              <w:t xml:space="preserve">, kuriem ir piešķirtas tiesības veikt būvekspertīzi, kā arī par būvkomersantiem, kuri nodarbina šos </w:t>
            </w:r>
            <w:proofErr w:type="spellStart"/>
            <w:r w:rsidRPr="00B04DA1">
              <w:rPr>
                <w:sz w:val="27"/>
                <w:szCs w:val="27"/>
              </w:rPr>
              <w:t>būvspeciālistu</w:t>
            </w:r>
            <w:r w:rsidR="002E373C" w:rsidRPr="00B04DA1">
              <w:rPr>
                <w:sz w:val="27"/>
                <w:szCs w:val="27"/>
              </w:rPr>
              <w:t>s</w:t>
            </w:r>
            <w:proofErr w:type="spellEnd"/>
            <w:r w:rsidRPr="00B04DA1">
              <w:rPr>
                <w:sz w:val="27"/>
                <w:szCs w:val="27"/>
              </w:rPr>
              <w:t xml:space="preserve">. </w:t>
            </w:r>
            <w:r w:rsidR="002E373C" w:rsidRPr="00B04DA1">
              <w:rPr>
                <w:sz w:val="27"/>
                <w:szCs w:val="27"/>
              </w:rPr>
              <w:t xml:space="preserve">Būvniecības informācijas sistēma ir publiski pieejama bez maksas. </w:t>
            </w:r>
            <w:r w:rsidR="0039533E" w:rsidRPr="00B04DA1">
              <w:rPr>
                <w:sz w:val="27"/>
                <w:szCs w:val="27"/>
              </w:rPr>
              <w:t>Ņemot vērā iepriekš minēto, ar likumprojektu ir plānots izslēgt Būvniecības likuma 6.</w:t>
            </w:r>
            <w:r w:rsidR="0039533E" w:rsidRPr="00B04DA1">
              <w:rPr>
                <w:sz w:val="27"/>
                <w:szCs w:val="27"/>
                <w:vertAlign w:val="superscript"/>
              </w:rPr>
              <w:t>1</w:t>
            </w:r>
            <w:r w:rsidR="0039533E" w:rsidRPr="00B04DA1">
              <w:rPr>
                <w:sz w:val="27"/>
                <w:szCs w:val="27"/>
              </w:rPr>
              <w:t> panta pirmās daļas 4. punktu.</w:t>
            </w:r>
          </w:p>
          <w:p w14:paraId="02F5F9D9" w14:textId="7E0BD9EC" w:rsidR="006A567C" w:rsidRPr="00B04DA1" w:rsidRDefault="006A567C" w:rsidP="003455EB">
            <w:pPr>
              <w:jc w:val="both"/>
              <w:rPr>
                <w:sz w:val="27"/>
                <w:szCs w:val="27"/>
              </w:rPr>
            </w:pPr>
          </w:p>
          <w:p w14:paraId="317EA55E" w14:textId="1EEC72DE" w:rsidR="006A567C" w:rsidRPr="00B04DA1" w:rsidRDefault="00B25FEA" w:rsidP="003455EB">
            <w:pPr>
              <w:jc w:val="both"/>
              <w:rPr>
                <w:sz w:val="27"/>
                <w:szCs w:val="27"/>
              </w:rPr>
            </w:pPr>
            <w:r w:rsidRPr="00B04DA1">
              <w:rPr>
                <w:sz w:val="27"/>
                <w:szCs w:val="27"/>
              </w:rPr>
              <w:t>Papildus ar likumprojektu ir plānots izlabot Būvniecības likuma 6.</w:t>
            </w:r>
            <w:r w:rsidRPr="00B04DA1">
              <w:rPr>
                <w:sz w:val="27"/>
                <w:szCs w:val="27"/>
                <w:vertAlign w:val="superscript"/>
              </w:rPr>
              <w:t>1</w:t>
            </w:r>
            <w:r w:rsidRPr="00B04DA1">
              <w:rPr>
                <w:sz w:val="27"/>
                <w:szCs w:val="27"/>
              </w:rPr>
              <w:t> panta pirmās daļas 1. punkta „b” apakšpunktā kļūdu attiecībā uz likuma „Par ietekmes uz vidi novērtējumu” nosaukumu.</w:t>
            </w:r>
          </w:p>
          <w:p w14:paraId="629ACF15" w14:textId="77777777" w:rsidR="003455EB" w:rsidRPr="00B04DA1" w:rsidRDefault="003455EB" w:rsidP="00E2364F">
            <w:pPr>
              <w:jc w:val="both"/>
              <w:rPr>
                <w:sz w:val="27"/>
                <w:szCs w:val="27"/>
              </w:rPr>
            </w:pPr>
          </w:p>
          <w:p w14:paraId="6807317E" w14:textId="4747FA4F" w:rsidR="00664E51" w:rsidRPr="00B04DA1" w:rsidRDefault="00E2364F" w:rsidP="00E2364F">
            <w:pPr>
              <w:jc w:val="both"/>
              <w:rPr>
                <w:sz w:val="27"/>
                <w:szCs w:val="27"/>
              </w:rPr>
            </w:pPr>
            <w:r w:rsidRPr="00B04DA1">
              <w:rPr>
                <w:sz w:val="27"/>
                <w:szCs w:val="27"/>
              </w:rPr>
              <w:t>[4] Atbilstoši Latvijas Būvinženieru savienības sniegtajai informācijai ir paredzams, ka, ņemot vērā Būvniecības likuma pārejas noteikumu 3. un 4. punktā ietverto regulējumu, laika periodā līdz 2021. gadam ievērojami samaz</w:t>
            </w:r>
            <w:r w:rsidR="001D01BC" w:rsidRPr="00B04DA1">
              <w:rPr>
                <w:sz w:val="27"/>
                <w:szCs w:val="27"/>
              </w:rPr>
              <w:t>ināsies to fizisko personu skai</w:t>
            </w:r>
            <w:r w:rsidRPr="00B04DA1">
              <w:rPr>
                <w:sz w:val="27"/>
                <w:szCs w:val="27"/>
              </w:rPr>
              <w:t>ts, kas būs tiesīgas veikt inženierizpēti, būvdarbu vadīšanu un būvuzraudzību, piemēram, ēku būvdarbu vadīšanā no 2425 fiziskām personām uz 01.01.2015. līdz 569 fiziskām personām uz 01.01.2021. Laika periodā līdz 2021.gadam ir plāno</w:t>
            </w:r>
            <w:r w:rsidR="001D01BC" w:rsidRPr="00B04DA1">
              <w:rPr>
                <w:sz w:val="27"/>
                <w:szCs w:val="27"/>
              </w:rPr>
              <w:t>t</w:t>
            </w:r>
            <w:r w:rsidRPr="00B04DA1">
              <w:rPr>
                <w:sz w:val="27"/>
                <w:szCs w:val="27"/>
              </w:rPr>
              <w:t xml:space="preserve">s, ka Latvijai 2014.-2020.gada plānošanas periodā kopējais ES kohēzijas finansējums būvniecībai būs aptuveni 3,3 miljardi </w:t>
            </w:r>
            <w:proofErr w:type="spellStart"/>
            <w:r w:rsidRPr="00B04DA1">
              <w:rPr>
                <w:sz w:val="27"/>
                <w:szCs w:val="27"/>
              </w:rPr>
              <w:t>euro</w:t>
            </w:r>
            <w:proofErr w:type="spellEnd"/>
            <w:r w:rsidRPr="00B04DA1">
              <w:rPr>
                <w:sz w:val="27"/>
                <w:szCs w:val="27"/>
              </w:rPr>
              <w:t xml:space="preserve">, kas veido apmēram divas trešdaļas no ES fondu ieviešanai paredzētā kopējā finansējuma. Tas rada risku, ka būvniecības nozarē, samazinoties fizisko personu skaistam, kuras būtu tiesīgas veikt inženierizpēti, būvdarbu vadīšanu un būvuzraudzību, radīsies darba spēka trūkums. </w:t>
            </w:r>
            <w:r w:rsidRPr="00B04DA1">
              <w:rPr>
                <w:sz w:val="27"/>
                <w:szCs w:val="27"/>
              </w:rPr>
              <w:lastRenderedPageBreak/>
              <w:t>Tas savukārt negatīvi ietekmē</w:t>
            </w:r>
            <w:r w:rsidR="00FA0475" w:rsidRPr="00B04DA1">
              <w:rPr>
                <w:sz w:val="27"/>
                <w:szCs w:val="27"/>
              </w:rPr>
              <w:t>s</w:t>
            </w:r>
            <w:r w:rsidRPr="00B04DA1">
              <w:rPr>
                <w:sz w:val="27"/>
                <w:szCs w:val="27"/>
              </w:rPr>
              <w:t xml:space="preserve"> būvniecības </w:t>
            </w:r>
            <w:r w:rsidR="00FA0475" w:rsidRPr="00B04DA1">
              <w:rPr>
                <w:sz w:val="27"/>
                <w:szCs w:val="27"/>
              </w:rPr>
              <w:t>nozares kapacitāti</w:t>
            </w:r>
            <w:r w:rsidRPr="00B04DA1">
              <w:rPr>
                <w:sz w:val="27"/>
                <w:szCs w:val="27"/>
              </w:rPr>
              <w:t xml:space="preserve">, proti, darba spēka trūkuma dēļ aizkavēties būvniecības ieceru realizācija, ne tikai publiskajā sektorā, bet arī privātajā sektorā. Lai novērstu iespējamo darba spēka trūkumu, ar likumprojekta </w:t>
            </w:r>
            <w:r w:rsidR="008F3314" w:rsidRPr="00B04DA1">
              <w:rPr>
                <w:sz w:val="27"/>
                <w:szCs w:val="27"/>
              </w:rPr>
              <w:t>16</w:t>
            </w:r>
            <w:r w:rsidRPr="00B04DA1">
              <w:rPr>
                <w:sz w:val="27"/>
                <w:szCs w:val="27"/>
              </w:rPr>
              <w:t xml:space="preserve">. pantu tiek paredzēts, ka fiziskas personas, kuras līdz šā likuma spēkā stāšanās dienai ieguvušas patstāvīgās prakses tiesības būvniecības jomā </w:t>
            </w:r>
            <w:proofErr w:type="spellStart"/>
            <w:r w:rsidRPr="00B04DA1">
              <w:rPr>
                <w:sz w:val="27"/>
                <w:szCs w:val="27"/>
              </w:rPr>
              <w:t>būvtehniķa</w:t>
            </w:r>
            <w:proofErr w:type="spellEnd"/>
            <w:r w:rsidRPr="00B04DA1">
              <w:rPr>
                <w:sz w:val="27"/>
                <w:szCs w:val="27"/>
              </w:rPr>
              <w:t xml:space="preserve"> profesijā, bet nav ieguvušas šā likuma 13.</w:t>
            </w:r>
            <w:r w:rsidR="00A108E3" w:rsidRPr="00B04DA1">
              <w:rPr>
                <w:sz w:val="27"/>
                <w:szCs w:val="27"/>
              </w:rPr>
              <w:t> </w:t>
            </w:r>
            <w:r w:rsidRPr="00B04DA1">
              <w:rPr>
                <w:sz w:val="27"/>
                <w:szCs w:val="27"/>
              </w:rPr>
              <w:t xml:space="preserve">pantā noteikto izglītību, ir tiesīgas turpināt patstāvīgu praksi inženierizpētē, būvdarbu vadīšanā vai būvuzraudzībā, bet ar likumprojekta </w:t>
            </w:r>
            <w:r w:rsidR="008F3314" w:rsidRPr="00B04DA1">
              <w:rPr>
                <w:sz w:val="27"/>
                <w:szCs w:val="27"/>
              </w:rPr>
              <w:t>17</w:t>
            </w:r>
            <w:r w:rsidRPr="00B04DA1">
              <w:rPr>
                <w:sz w:val="27"/>
                <w:szCs w:val="27"/>
              </w:rPr>
              <w:t>. pantu, ka fiziskās personas, kuras līdz šā likuma spēkā stāšanās dienai ieguvušas patstāvīgās prakses tiesības būvniecības jomā būvinženiera profesijā un kurām ir pirmā līmeņa profesionālā augstākā izglītība būvniecības vai ar būvniecības jomu saistītā studiju programmā, ir tiesīgas turpināt patstāvīgu praksi inženierizpētē. Ciktāl tas attiecas uz projektēšanu un būvekspertīzi, regulējums attiecībā uz iepriekš minētajām fiziskajām personām netiek mainīts.</w:t>
            </w:r>
          </w:p>
          <w:p w14:paraId="770298F2" w14:textId="77777777" w:rsidR="00664E51" w:rsidRPr="00B04DA1" w:rsidRDefault="00664E51" w:rsidP="001B6373">
            <w:pPr>
              <w:rPr>
                <w:sz w:val="27"/>
                <w:szCs w:val="27"/>
              </w:rPr>
            </w:pPr>
          </w:p>
          <w:p w14:paraId="39B26484" w14:textId="77777777" w:rsidR="00664E51" w:rsidRPr="00B04DA1" w:rsidRDefault="00AF7D9C" w:rsidP="00F02237">
            <w:pPr>
              <w:jc w:val="both"/>
              <w:rPr>
                <w:sz w:val="27"/>
                <w:szCs w:val="27"/>
              </w:rPr>
            </w:pPr>
            <w:r w:rsidRPr="00B04DA1">
              <w:rPr>
                <w:sz w:val="27"/>
                <w:szCs w:val="27"/>
              </w:rPr>
              <w:t>[5] </w:t>
            </w:r>
            <w:r w:rsidR="00F02237" w:rsidRPr="00B04DA1">
              <w:rPr>
                <w:sz w:val="27"/>
                <w:szCs w:val="27"/>
              </w:rPr>
              <w:t>Atbilstoši Būvniecības likuma 1. panta 1. punktam būvatļauja ir administratīvais akts ar nosacījumiem būvniecības ieceres realizācijai dabā — projektēšanai un būvdarbiem — līdz būves pieņemšanai ekspluatācijā. Šāds regulējums liedz paredzēt būvatļaujā papildus nosacījumu veidus. Būtu jānorāda, ka tieši šis aspekts</w:t>
            </w:r>
            <w:r w:rsidR="001D01BC" w:rsidRPr="00B04DA1">
              <w:rPr>
                <w:sz w:val="27"/>
                <w:szCs w:val="27"/>
              </w:rPr>
              <w:t>,</w:t>
            </w:r>
            <w:r w:rsidR="00F02237" w:rsidRPr="00B04DA1">
              <w:rPr>
                <w:sz w:val="27"/>
                <w:szCs w:val="27"/>
              </w:rPr>
              <w:t xml:space="preserve"> p</w:t>
            </w:r>
            <w:r w:rsidR="001D01BC" w:rsidRPr="00B04DA1">
              <w:rPr>
                <w:sz w:val="27"/>
                <w:szCs w:val="27"/>
              </w:rPr>
              <w:t>lānojot lielu būvniecības ieceru</w:t>
            </w:r>
            <w:r w:rsidR="00F02237" w:rsidRPr="00B04DA1">
              <w:rPr>
                <w:sz w:val="27"/>
                <w:szCs w:val="27"/>
              </w:rPr>
              <w:t xml:space="preserve"> realizāciju</w:t>
            </w:r>
            <w:r w:rsidR="001D01BC" w:rsidRPr="00B04DA1">
              <w:rPr>
                <w:sz w:val="27"/>
                <w:szCs w:val="27"/>
              </w:rPr>
              <w:t>,</w:t>
            </w:r>
            <w:r w:rsidR="00F02237" w:rsidRPr="00B04DA1">
              <w:rPr>
                <w:sz w:val="27"/>
                <w:szCs w:val="27"/>
              </w:rPr>
              <w:t xml:space="preserve"> ir bijis traucējošs apstāklis. Piemēram, gadījumā, ja tiku būvēta liela rūpnīcas ēka, kuras ekspluatācijai būtu nepieciešami arī visu apkārtējo ārējo inženiertīklu pārbūve vai jaunu ārējo inženiertīklu būvdarbi (piemēram, 2 km garumā). Rastos situācija, kurā pašas ēkas būvprojekts jau būtu izstrādāts, bet ārējo inženiertīklu būvprojektu daļas nebūtu izstrādātas dēļ </w:t>
            </w:r>
            <w:r w:rsidR="00A3099F" w:rsidRPr="00B04DA1">
              <w:rPr>
                <w:sz w:val="27"/>
                <w:szCs w:val="27"/>
              </w:rPr>
              <w:t xml:space="preserve">laikietilpīgās saskaņošanas ar trešajām personām, tai skaitā dažādiem ārējo inženiertīklu īpašniekiem vai valdītājiem. Nenoliedzami šāda ēka nevarētu ekspluatēt bez </w:t>
            </w:r>
            <w:r w:rsidR="00A3099F" w:rsidRPr="00B04DA1">
              <w:rPr>
                <w:sz w:val="27"/>
                <w:szCs w:val="27"/>
              </w:rPr>
              <w:lastRenderedPageBreak/>
              <w:t>attiecīgajiem arējiem inženiertīkliem, tomēr šo ārējo inženiertīklu būvniecību varētu izdalīt atsevišķā prosa – nodrošinot, ka ēkas būvdarbu</w:t>
            </w:r>
            <w:r w:rsidR="001D01BC" w:rsidRPr="00B04DA1">
              <w:rPr>
                <w:sz w:val="27"/>
                <w:szCs w:val="27"/>
              </w:rPr>
              <w:t>s</w:t>
            </w:r>
            <w:r w:rsidR="00A3099F" w:rsidRPr="00B04DA1">
              <w:rPr>
                <w:sz w:val="27"/>
                <w:szCs w:val="27"/>
              </w:rPr>
              <w:t xml:space="preserve"> varētu uzsākt ātrāk. Šādā gadījumā būtu ēkas būvatļaujā jāparedz jauns nosacījums, ka l</w:t>
            </w:r>
            <w:r w:rsidR="001D01BC" w:rsidRPr="00B04DA1">
              <w:rPr>
                <w:sz w:val="27"/>
                <w:szCs w:val="27"/>
              </w:rPr>
              <w:t>īdz ēkas nodošanai ekspluatācijā</w:t>
            </w:r>
            <w:r w:rsidR="00A3099F" w:rsidRPr="00B04DA1">
              <w:rPr>
                <w:sz w:val="27"/>
                <w:szCs w:val="27"/>
              </w:rPr>
              <w:t xml:space="preserve"> ir jābūt pieņemtiem ekspluatācij</w:t>
            </w:r>
            <w:r w:rsidR="001D01BC" w:rsidRPr="00B04DA1">
              <w:rPr>
                <w:sz w:val="27"/>
                <w:szCs w:val="27"/>
              </w:rPr>
              <w:t>ā</w:t>
            </w:r>
            <w:r w:rsidR="00A3099F" w:rsidRPr="00B04DA1">
              <w:rPr>
                <w:sz w:val="27"/>
                <w:szCs w:val="27"/>
              </w:rPr>
              <w:t xml:space="preserve"> saistītajiem ārējiem inženiertīkliem. Pēc savas būtības tas nav projektēšanas vai būvdarbu uzsākšanas nosacījums, bet gan ekspluatācijā nodošanas nosacījums. Līdz ar to ir nepieciešams atbilstošās izmaiņas terminā „būvatļauja”.</w:t>
            </w:r>
          </w:p>
          <w:p w14:paraId="0BC6E550" w14:textId="77777777" w:rsidR="00A3099F" w:rsidRPr="00B04DA1" w:rsidRDefault="00A3099F" w:rsidP="00F02237">
            <w:pPr>
              <w:jc w:val="both"/>
              <w:rPr>
                <w:sz w:val="27"/>
                <w:szCs w:val="27"/>
              </w:rPr>
            </w:pPr>
          </w:p>
          <w:p w14:paraId="6857DADE" w14:textId="49740108" w:rsidR="00A3099F" w:rsidRPr="00B04DA1" w:rsidRDefault="00A3099F" w:rsidP="00F02237">
            <w:pPr>
              <w:jc w:val="both"/>
              <w:rPr>
                <w:sz w:val="27"/>
                <w:szCs w:val="27"/>
              </w:rPr>
            </w:pPr>
            <w:r w:rsidRPr="00B04DA1">
              <w:rPr>
                <w:sz w:val="27"/>
                <w:szCs w:val="27"/>
              </w:rPr>
              <w:t xml:space="preserve">[6] Ņemot vērā būvniecības nozares nevalstisko organizāciju ierosinājumus, ir pārskatīts termins „būve”, lai saskaņotu šo jēdzienu ar Civillikumā lietotajiem lietu apzīmējošajiem terminiem. </w:t>
            </w:r>
            <w:r w:rsidR="008A42A2" w:rsidRPr="00B04DA1">
              <w:rPr>
                <w:sz w:val="27"/>
                <w:szCs w:val="27"/>
              </w:rPr>
              <w:t>B</w:t>
            </w:r>
            <w:r w:rsidRPr="00B04DA1">
              <w:rPr>
                <w:sz w:val="27"/>
                <w:szCs w:val="27"/>
              </w:rPr>
              <w:t xml:space="preserve">ūvei ir jāatbilst tai raksturīgajam lietošanas veidam, proti, ķermeniska lieta, kurai nav būvei raksturīgais lietošanas veids, nebūs uzskatāma par būvi. </w:t>
            </w:r>
            <w:r w:rsidR="008F3314" w:rsidRPr="00B04DA1">
              <w:rPr>
                <w:sz w:val="27"/>
                <w:szCs w:val="27"/>
              </w:rPr>
              <w:t>T</w:t>
            </w:r>
            <w:r w:rsidR="00F663C4" w:rsidRPr="00B04DA1">
              <w:rPr>
                <w:sz w:val="27"/>
                <w:szCs w:val="27"/>
              </w:rPr>
              <w:t>erminā</w:t>
            </w:r>
            <w:r w:rsidRPr="00B04DA1">
              <w:rPr>
                <w:sz w:val="27"/>
                <w:szCs w:val="27"/>
              </w:rPr>
              <w:t xml:space="preserve"> „būve”</w:t>
            </w:r>
            <w:r w:rsidR="001D01BC" w:rsidRPr="00B04DA1">
              <w:rPr>
                <w:sz w:val="27"/>
                <w:szCs w:val="27"/>
              </w:rPr>
              <w:t xml:space="preserve"> tiek tieši noteikts</w:t>
            </w:r>
            <w:r w:rsidRPr="00B04DA1">
              <w:rPr>
                <w:sz w:val="27"/>
                <w:szCs w:val="27"/>
              </w:rPr>
              <w:t xml:space="preserve">, ka būves iedala ēkās un </w:t>
            </w:r>
            <w:r w:rsidR="001D01BC" w:rsidRPr="00B04DA1">
              <w:rPr>
                <w:sz w:val="27"/>
                <w:szCs w:val="27"/>
              </w:rPr>
              <w:t>inženierbūvēs</w:t>
            </w:r>
            <w:r w:rsidRPr="00B04DA1">
              <w:rPr>
                <w:sz w:val="27"/>
                <w:szCs w:val="27"/>
              </w:rPr>
              <w:t>. Ievērojot iepriekš minēto, izslēgts Būvniecības likuma 11.</w:t>
            </w:r>
            <w:r w:rsidR="00F663C4" w:rsidRPr="00B04DA1">
              <w:rPr>
                <w:sz w:val="27"/>
                <w:szCs w:val="27"/>
              </w:rPr>
              <w:t> </w:t>
            </w:r>
            <w:r w:rsidRPr="00B04DA1">
              <w:rPr>
                <w:sz w:val="27"/>
                <w:szCs w:val="27"/>
              </w:rPr>
              <w:t>pants – termins būve jau nosaka, ka būves iedala ēkas un inženierbūvēs.</w:t>
            </w:r>
            <w:r w:rsidR="00423868" w:rsidRPr="00B04DA1">
              <w:rPr>
                <w:sz w:val="27"/>
                <w:szCs w:val="27"/>
              </w:rPr>
              <w:t xml:space="preserve"> </w:t>
            </w:r>
            <w:r w:rsidR="004F3067" w:rsidRPr="00B04DA1">
              <w:rPr>
                <w:sz w:val="27"/>
                <w:szCs w:val="27"/>
              </w:rPr>
              <w:t>T</w:t>
            </w:r>
            <w:r w:rsidR="00423868" w:rsidRPr="00B04DA1">
              <w:rPr>
                <w:sz w:val="27"/>
                <w:szCs w:val="27"/>
              </w:rPr>
              <w:t>as, ka vispārīgajos būvnoteikumus nosaka būvju iedalījumu grupās, izriet Būvniecības likuma 5. panta pirmās daļas 1. punkta „a” apakšpunkta.</w:t>
            </w:r>
          </w:p>
          <w:p w14:paraId="0D746851" w14:textId="77777777" w:rsidR="00A3099F" w:rsidRPr="00B04DA1" w:rsidRDefault="00A3099F" w:rsidP="00F02237">
            <w:pPr>
              <w:jc w:val="both"/>
              <w:rPr>
                <w:sz w:val="27"/>
                <w:szCs w:val="27"/>
              </w:rPr>
            </w:pPr>
          </w:p>
          <w:p w14:paraId="45D2B3F5" w14:textId="77777777" w:rsidR="00A3099F" w:rsidRPr="00B04DA1" w:rsidRDefault="00A3099F" w:rsidP="00F02237">
            <w:pPr>
              <w:jc w:val="both"/>
              <w:rPr>
                <w:sz w:val="27"/>
                <w:szCs w:val="27"/>
              </w:rPr>
            </w:pPr>
            <w:r w:rsidRPr="00B04DA1">
              <w:rPr>
                <w:sz w:val="27"/>
                <w:szCs w:val="27"/>
              </w:rPr>
              <w:t xml:space="preserve">Lai novērstu </w:t>
            </w:r>
            <w:r w:rsidR="00891B0C" w:rsidRPr="00B04DA1">
              <w:rPr>
                <w:sz w:val="27"/>
                <w:szCs w:val="27"/>
              </w:rPr>
              <w:t>konstatētās neskaidrības</w:t>
            </w:r>
            <w:r w:rsidRPr="00B04DA1">
              <w:rPr>
                <w:sz w:val="27"/>
                <w:szCs w:val="27"/>
              </w:rPr>
              <w:t xml:space="preserve"> saistībā ar jēdzieniem ēka un inženierbūve, Būvniecības likums </w:t>
            </w:r>
            <w:r w:rsidR="00891B0C" w:rsidRPr="00B04DA1">
              <w:rPr>
                <w:sz w:val="27"/>
                <w:szCs w:val="27"/>
              </w:rPr>
              <w:t>papildināts ar jaun</w:t>
            </w:r>
            <w:r w:rsidR="00A108E3" w:rsidRPr="00B04DA1">
              <w:rPr>
                <w:sz w:val="27"/>
                <w:szCs w:val="27"/>
              </w:rPr>
              <w:t>u</w:t>
            </w:r>
            <w:r w:rsidR="00891B0C" w:rsidRPr="00B04DA1">
              <w:rPr>
                <w:sz w:val="27"/>
                <w:szCs w:val="27"/>
              </w:rPr>
              <w:t xml:space="preserve"> terminu</w:t>
            </w:r>
            <w:r w:rsidRPr="00B04DA1">
              <w:rPr>
                <w:sz w:val="27"/>
                <w:szCs w:val="27"/>
              </w:rPr>
              <w:t xml:space="preserve"> „ēka” un „inženierbūve” skaidrojumiem. Līdzīgi tas attiecas uz terminu </w:t>
            </w:r>
            <w:r w:rsidR="00891B0C" w:rsidRPr="00B04DA1">
              <w:rPr>
                <w:sz w:val="27"/>
                <w:szCs w:val="27"/>
              </w:rPr>
              <w:t>„būvniecības ieceres dokumenti”, „būvniecības dokumenti” un „būvprojekts” skaidrojumu papildinājumiem un precizējumiem.</w:t>
            </w:r>
          </w:p>
          <w:p w14:paraId="3F4E9140" w14:textId="77777777" w:rsidR="00664E51" w:rsidRPr="00B04DA1" w:rsidRDefault="00664E51" w:rsidP="001B6373">
            <w:pPr>
              <w:rPr>
                <w:sz w:val="27"/>
                <w:szCs w:val="27"/>
              </w:rPr>
            </w:pPr>
          </w:p>
          <w:p w14:paraId="44271685" w14:textId="33AA817D" w:rsidR="00664E51" w:rsidRPr="00B04DA1" w:rsidRDefault="00E42AD7" w:rsidP="00F61C0B">
            <w:pPr>
              <w:jc w:val="both"/>
              <w:rPr>
                <w:sz w:val="27"/>
                <w:szCs w:val="27"/>
              </w:rPr>
            </w:pPr>
            <w:r w:rsidRPr="00B04DA1">
              <w:rPr>
                <w:sz w:val="27"/>
                <w:szCs w:val="27"/>
              </w:rPr>
              <w:t>[7] </w:t>
            </w:r>
            <w:r w:rsidR="00F61C0B" w:rsidRPr="00B04DA1">
              <w:rPr>
                <w:sz w:val="27"/>
                <w:szCs w:val="27"/>
              </w:rPr>
              <w:t>Administratīvā procesa likums 64.</w:t>
            </w:r>
            <w:r w:rsidR="004C7672" w:rsidRPr="00B04DA1">
              <w:rPr>
                <w:sz w:val="27"/>
                <w:szCs w:val="27"/>
              </w:rPr>
              <w:t> </w:t>
            </w:r>
            <w:r w:rsidR="00F61C0B" w:rsidRPr="00B04DA1">
              <w:rPr>
                <w:sz w:val="27"/>
                <w:szCs w:val="27"/>
              </w:rPr>
              <w:t xml:space="preserve">panta pirmajā daļā ir noteikts, ka gadījumā, ja administratīvā lieta </w:t>
            </w:r>
            <w:r w:rsidR="001D01BC" w:rsidRPr="00B04DA1">
              <w:rPr>
                <w:sz w:val="27"/>
                <w:szCs w:val="27"/>
              </w:rPr>
              <w:t xml:space="preserve">tiek </w:t>
            </w:r>
            <w:r w:rsidR="00F61C0B" w:rsidRPr="00B04DA1">
              <w:rPr>
                <w:sz w:val="27"/>
                <w:szCs w:val="27"/>
              </w:rPr>
              <w:t xml:space="preserve">ierosināta uz iesnieguma pamata, iestāde pieņem lēmumu par administratīvā akta izdošanu viena mēneša laikā no iesnieguma saņemšanas dienas, ja likumā nav </w:t>
            </w:r>
            <w:r w:rsidR="00F61C0B" w:rsidRPr="00B04DA1">
              <w:rPr>
                <w:sz w:val="27"/>
                <w:szCs w:val="27"/>
              </w:rPr>
              <w:lastRenderedPageBreak/>
              <w:t>noteikts cits termiņš vai citā normatīvajā aktā — īsāks termiņš administratīvā akta izdošanai. No šī regulējuma izriet, ka Ministru kabineta noteikumos var noteikt īsākus lēmumu pieņemšanas termiņus. Būvniecības likuma 12. panta ceturtajā daļā lēmumu pieņemšanas termiņi ir noteikti īsāki nekā Administratīvā procesa likumā. Tādējādi šādus termiņus varēja ietvert arī būvnoteikumos. Šādu termiņu ietveršana būvnoteikumos nodrošinās to, ka šos termiņus nepieciešamības gadījumā varēs ātrāk pārskatīta, lai nodrošinātu efektīvāku būvniecības administratīvo procesu. Ievērojot iepriekš minēto, ir plānots, ka ar 01.07.2019. lēmumu pieņemšanas termiņi būvniecības administratīvajā procesā būs noteikti vispārīgajos bū</w:t>
            </w:r>
            <w:r w:rsidR="008F3314" w:rsidRPr="00B04DA1">
              <w:rPr>
                <w:sz w:val="27"/>
                <w:szCs w:val="27"/>
              </w:rPr>
              <w:t>vnoteikumos (sk. likumprojekta 8</w:t>
            </w:r>
            <w:r w:rsidR="00F61C0B" w:rsidRPr="00B04DA1">
              <w:rPr>
                <w:sz w:val="27"/>
                <w:szCs w:val="27"/>
              </w:rPr>
              <w:t>. pantu (ciktāl tas attiecas uz Būvniecības likuma 12. </w:t>
            </w:r>
            <w:r w:rsidR="004F3067" w:rsidRPr="00B04DA1">
              <w:rPr>
                <w:sz w:val="27"/>
                <w:szCs w:val="27"/>
              </w:rPr>
              <w:t>panta ceturto un piekto daļu), 9</w:t>
            </w:r>
            <w:r w:rsidR="00F61C0B" w:rsidRPr="00B04DA1">
              <w:rPr>
                <w:sz w:val="27"/>
                <w:szCs w:val="27"/>
              </w:rPr>
              <w:t xml:space="preserve">. pantu (ciktāl tas attiecas uz Būvniecības </w:t>
            </w:r>
            <w:r w:rsidR="00253127" w:rsidRPr="00B04DA1">
              <w:rPr>
                <w:sz w:val="27"/>
                <w:szCs w:val="27"/>
              </w:rPr>
              <w:t>likuma 14. panta pirmo daļu), 2</w:t>
            </w:r>
            <w:r w:rsidR="004C7672" w:rsidRPr="00B04DA1">
              <w:rPr>
                <w:sz w:val="27"/>
                <w:szCs w:val="27"/>
              </w:rPr>
              <w:t>1</w:t>
            </w:r>
            <w:r w:rsidR="00F61C0B" w:rsidRPr="00B04DA1">
              <w:rPr>
                <w:sz w:val="27"/>
                <w:szCs w:val="27"/>
              </w:rPr>
              <w:t>. pantu).</w:t>
            </w:r>
          </w:p>
          <w:p w14:paraId="2A97D717" w14:textId="77777777" w:rsidR="00664E51" w:rsidRPr="00B04DA1" w:rsidRDefault="00664E51" w:rsidP="001B6373">
            <w:pPr>
              <w:rPr>
                <w:sz w:val="27"/>
                <w:szCs w:val="27"/>
              </w:rPr>
            </w:pPr>
          </w:p>
          <w:p w14:paraId="1E2360FA" w14:textId="4C7D50F6" w:rsidR="003B4BC8" w:rsidRPr="00B04DA1" w:rsidRDefault="003B4BC8" w:rsidP="00253127">
            <w:pPr>
              <w:jc w:val="both"/>
              <w:rPr>
                <w:sz w:val="27"/>
                <w:szCs w:val="27"/>
              </w:rPr>
            </w:pPr>
            <w:r w:rsidRPr="00B04DA1">
              <w:rPr>
                <w:sz w:val="27"/>
                <w:szCs w:val="27"/>
              </w:rPr>
              <w:t>[8] </w:t>
            </w:r>
            <w:r w:rsidR="00253127" w:rsidRPr="00B04DA1">
              <w:rPr>
                <w:sz w:val="27"/>
                <w:szCs w:val="27"/>
              </w:rPr>
              <w:t xml:space="preserve">Grozījumi Būvniecības likuma 22. pantā ir paredzēti, lai novērstu radušās neskaidrības saistībā ar nepieciešamību reģistrēties būvkomersantu reģistrā. Ja komersants vēlas sniegt jebkāda veida būvniecības pakalpojumus, neatkarīgi no tā vai plānoto būvdarbu veikšanai ir nepieciešama jebkāda veida būvvaldes atļauja, viņam ir jābūt reģistrētam būvkomersantu reģistrā. </w:t>
            </w:r>
            <w:r w:rsidR="004C7672" w:rsidRPr="00B04DA1">
              <w:rPr>
                <w:sz w:val="27"/>
                <w:szCs w:val="27"/>
              </w:rPr>
              <w:t xml:space="preserve">Tikai attiecībā uz tādiem būvdarbiem, kuru veikšanai ir nepieciešama būvvaldes atļauja, būvkomersantam būs nepieciešams nodarbināt </w:t>
            </w:r>
            <w:r w:rsidR="008F3314" w:rsidRPr="00B04DA1">
              <w:rPr>
                <w:sz w:val="27"/>
                <w:szCs w:val="27"/>
              </w:rPr>
              <w:t xml:space="preserve">vai piesaistīt </w:t>
            </w:r>
            <w:r w:rsidR="004C7672" w:rsidRPr="00B04DA1">
              <w:rPr>
                <w:sz w:val="27"/>
                <w:szCs w:val="27"/>
              </w:rPr>
              <w:t xml:space="preserve">atbilstošus </w:t>
            </w:r>
            <w:proofErr w:type="spellStart"/>
            <w:r w:rsidR="004C7672" w:rsidRPr="00B04DA1">
              <w:rPr>
                <w:sz w:val="27"/>
                <w:szCs w:val="27"/>
              </w:rPr>
              <w:t>būvspeciālistus</w:t>
            </w:r>
            <w:proofErr w:type="spellEnd"/>
            <w:r w:rsidR="004C7672" w:rsidRPr="00B04DA1">
              <w:rPr>
                <w:sz w:val="27"/>
                <w:szCs w:val="27"/>
              </w:rPr>
              <w:t>.</w:t>
            </w:r>
          </w:p>
          <w:p w14:paraId="4E4C2592" w14:textId="77777777" w:rsidR="003B4BC8" w:rsidRPr="00B04DA1" w:rsidRDefault="003B4BC8" w:rsidP="001B6373">
            <w:pPr>
              <w:rPr>
                <w:sz w:val="27"/>
                <w:szCs w:val="27"/>
              </w:rPr>
            </w:pPr>
          </w:p>
          <w:p w14:paraId="5A4A2835" w14:textId="77777777" w:rsidR="003455EB" w:rsidRPr="00B04DA1" w:rsidRDefault="004C7672" w:rsidP="005F39EB">
            <w:pPr>
              <w:jc w:val="both"/>
              <w:rPr>
                <w:sz w:val="27"/>
                <w:szCs w:val="27"/>
              </w:rPr>
            </w:pPr>
            <w:r w:rsidRPr="00B04DA1">
              <w:rPr>
                <w:sz w:val="27"/>
                <w:szCs w:val="27"/>
              </w:rPr>
              <w:t>[9] Grozījumi Būvniecības likuma 23. pantā ir paredzēti, lai novērstu radušās neskaidrības saistībā būvkomersantu klasifikācijas piemērojamību, proti, šī klasifikācija ir piemērojama visiem būvkomersantiem.</w:t>
            </w:r>
          </w:p>
        </w:tc>
      </w:tr>
      <w:tr w:rsidR="00BD5588" w:rsidRPr="00B04DA1" w14:paraId="049B18E6" w14:textId="77777777" w:rsidTr="00D766C6">
        <w:tc>
          <w:tcPr>
            <w:tcW w:w="311" w:type="pct"/>
            <w:hideMark/>
          </w:tcPr>
          <w:p w14:paraId="02DAD8E5" w14:textId="77777777" w:rsidR="00BD5588" w:rsidRPr="00B04DA1" w:rsidRDefault="00BD5588" w:rsidP="00144D93">
            <w:pPr>
              <w:contextualSpacing/>
              <w:jc w:val="center"/>
              <w:rPr>
                <w:sz w:val="27"/>
                <w:szCs w:val="27"/>
              </w:rPr>
            </w:pPr>
            <w:r w:rsidRPr="00B04DA1">
              <w:rPr>
                <w:sz w:val="27"/>
                <w:szCs w:val="27"/>
              </w:rPr>
              <w:lastRenderedPageBreak/>
              <w:t>3.</w:t>
            </w:r>
          </w:p>
        </w:tc>
        <w:tc>
          <w:tcPr>
            <w:tcW w:w="1479" w:type="pct"/>
            <w:hideMark/>
          </w:tcPr>
          <w:p w14:paraId="20BF8510" w14:textId="77777777" w:rsidR="00BD5588" w:rsidRPr="00B04DA1" w:rsidRDefault="00BD5588" w:rsidP="00144D93">
            <w:pPr>
              <w:contextualSpacing/>
              <w:rPr>
                <w:sz w:val="27"/>
                <w:szCs w:val="27"/>
              </w:rPr>
            </w:pPr>
            <w:r w:rsidRPr="00B04DA1">
              <w:rPr>
                <w:sz w:val="27"/>
                <w:szCs w:val="27"/>
              </w:rPr>
              <w:t xml:space="preserve">Projekta izstrādē iesaistītās institūcijas </w:t>
            </w:r>
            <w:r w:rsidRPr="00B04DA1">
              <w:rPr>
                <w:sz w:val="27"/>
                <w:szCs w:val="27"/>
              </w:rPr>
              <w:lastRenderedPageBreak/>
              <w:t>un publiskas personas kapitālsabiedrības</w:t>
            </w:r>
          </w:p>
        </w:tc>
        <w:tc>
          <w:tcPr>
            <w:tcW w:w="3210" w:type="pct"/>
            <w:hideMark/>
          </w:tcPr>
          <w:p w14:paraId="6E606F4F" w14:textId="77777777" w:rsidR="0097782F" w:rsidRPr="00B04DA1" w:rsidRDefault="0097782F" w:rsidP="004C3DF0">
            <w:pPr>
              <w:contextualSpacing/>
              <w:jc w:val="both"/>
              <w:rPr>
                <w:sz w:val="27"/>
                <w:szCs w:val="27"/>
              </w:rPr>
            </w:pPr>
            <w:r w:rsidRPr="00B04DA1">
              <w:rPr>
                <w:sz w:val="27"/>
                <w:szCs w:val="27"/>
              </w:rPr>
              <w:lastRenderedPageBreak/>
              <w:t xml:space="preserve">Likumprojekts tika izstrādāts Būvniecības likuma grozījumu darba grupā. Darba grupa tika izveidota ar Ekonomikas ministrijas 21.02.2017. </w:t>
            </w:r>
            <w:r w:rsidRPr="00B04DA1">
              <w:rPr>
                <w:sz w:val="27"/>
                <w:szCs w:val="27"/>
              </w:rPr>
              <w:lastRenderedPageBreak/>
              <w:t>rīkojumu Nr.44 un tajā tika ietverti pārstāvji no Latvijas Pašvaldību savienības, Latvijas Lielo pilsētu asociācijas, Latvijas Būvuzņēmēju partnerības, Latvijas Arhitektu savienības, Latvijas Būvniecības padomes, Latvijas Būvinženieru savienības, Vides aizsardzības un reģionālās attīstības ministrijas, Ārvalstu investoru padomes Latvijā, Inženierkomunikāciju turētāju sadarbības padomes, Aizsardzības ministrijas, Nacionālā nekustamo īpašumu attīstītāju alianses, Latvijas Būvkonstrukciju projektētāju asociācijas</w:t>
            </w:r>
            <w:r w:rsidR="004C3DF0" w:rsidRPr="00B04DA1">
              <w:rPr>
                <w:sz w:val="27"/>
                <w:szCs w:val="27"/>
              </w:rPr>
              <w:t>, Valsts zemes dienesta</w:t>
            </w:r>
            <w:r w:rsidRPr="00B04DA1">
              <w:rPr>
                <w:sz w:val="27"/>
                <w:szCs w:val="27"/>
              </w:rPr>
              <w:t>, Latvijas Apdrošinātāju asociācija</w:t>
            </w:r>
            <w:r w:rsidR="004C3DF0" w:rsidRPr="00B04DA1">
              <w:rPr>
                <w:sz w:val="27"/>
                <w:szCs w:val="27"/>
              </w:rPr>
              <w:t>s</w:t>
            </w:r>
            <w:r w:rsidRPr="00B04DA1">
              <w:rPr>
                <w:sz w:val="27"/>
                <w:szCs w:val="27"/>
              </w:rPr>
              <w:t xml:space="preserve"> valsts akciju sabiedrība</w:t>
            </w:r>
            <w:r w:rsidR="004C3DF0" w:rsidRPr="00B04DA1">
              <w:rPr>
                <w:sz w:val="27"/>
                <w:szCs w:val="27"/>
              </w:rPr>
              <w:t>s</w:t>
            </w:r>
            <w:r w:rsidRPr="00B04DA1">
              <w:rPr>
                <w:sz w:val="27"/>
                <w:szCs w:val="27"/>
              </w:rPr>
              <w:t xml:space="preserve"> “Valsts nekustamie īpašumi”.</w:t>
            </w:r>
          </w:p>
        </w:tc>
      </w:tr>
      <w:tr w:rsidR="00BD5588" w:rsidRPr="00B04DA1" w14:paraId="489E7C9A" w14:textId="77777777" w:rsidTr="00D766C6">
        <w:tc>
          <w:tcPr>
            <w:tcW w:w="311" w:type="pct"/>
            <w:hideMark/>
          </w:tcPr>
          <w:p w14:paraId="4D16D1F2" w14:textId="77777777" w:rsidR="00BD5588" w:rsidRPr="00B04DA1" w:rsidRDefault="00BD5588" w:rsidP="00144D93">
            <w:pPr>
              <w:contextualSpacing/>
              <w:jc w:val="center"/>
              <w:rPr>
                <w:sz w:val="27"/>
                <w:szCs w:val="27"/>
              </w:rPr>
            </w:pPr>
            <w:r w:rsidRPr="00B04DA1">
              <w:rPr>
                <w:sz w:val="27"/>
                <w:szCs w:val="27"/>
              </w:rPr>
              <w:t>4.</w:t>
            </w:r>
          </w:p>
        </w:tc>
        <w:tc>
          <w:tcPr>
            <w:tcW w:w="1479" w:type="pct"/>
            <w:hideMark/>
          </w:tcPr>
          <w:p w14:paraId="7F811910" w14:textId="77777777" w:rsidR="00BD5588" w:rsidRPr="00B04DA1" w:rsidRDefault="00BD5588" w:rsidP="00144D93">
            <w:pPr>
              <w:contextualSpacing/>
              <w:rPr>
                <w:sz w:val="27"/>
                <w:szCs w:val="27"/>
              </w:rPr>
            </w:pPr>
            <w:r w:rsidRPr="00B04DA1">
              <w:rPr>
                <w:sz w:val="27"/>
                <w:szCs w:val="27"/>
              </w:rPr>
              <w:t>Cita informācija</w:t>
            </w:r>
          </w:p>
        </w:tc>
        <w:tc>
          <w:tcPr>
            <w:tcW w:w="3210" w:type="pct"/>
            <w:hideMark/>
          </w:tcPr>
          <w:p w14:paraId="16AB6716" w14:textId="77777777" w:rsidR="00BD5588" w:rsidRPr="00B04DA1" w:rsidRDefault="00144D93" w:rsidP="00144D93">
            <w:pPr>
              <w:contextualSpacing/>
              <w:rPr>
                <w:sz w:val="27"/>
                <w:szCs w:val="27"/>
              </w:rPr>
            </w:pPr>
            <w:r w:rsidRPr="00B04DA1">
              <w:rPr>
                <w:sz w:val="27"/>
                <w:szCs w:val="27"/>
              </w:rPr>
              <w:t>Nav</w:t>
            </w:r>
          </w:p>
        </w:tc>
      </w:tr>
    </w:tbl>
    <w:p w14:paraId="031EEFF9" w14:textId="77777777" w:rsidR="00BD5588" w:rsidRPr="00B04DA1" w:rsidRDefault="00BD5588" w:rsidP="00144D93">
      <w:pPr>
        <w:pStyle w:val="Title"/>
        <w:ind w:firstLine="539"/>
        <w:contextualSpacing/>
        <w:jc w:val="both"/>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B04DA1" w14:paraId="037EE105" w14:textId="77777777" w:rsidTr="00D824C2">
        <w:trPr>
          <w:cantSplit/>
        </w:trPr>
        <w:tc>
          <w:tcPr>
            <w:tcW w:w="5000" w:type="pct"/>
            <w:gridSpan w:val="3"/>
            <w:vAlign w:val="center"/>
            <w:hideMark/>
          </w:tcPr>
          <w:p w14:paraId="54E8D6A2" w14:textId="77777777" w:rsidR="00BD5588" w:rsidRPr="00B04DA1" w:rsidRDefault="00BD5588" w:rsidP="00144D93">
            <w:pPr>
              <w:contextualSpacing/>
              <w:jc w:val="center"/>
              <w:rPr>
                <w:b/>
                <w:bCs/>
                <w:sz w:val="27"/>
                <w:szCs w:val="27"/>
              </w:rPr>
            </w:pPr>
            <w:r w:rsidRPr="00B04DA1">
              <w:rPr>
                <w:b/>
                <w:bCs/>
                <w:sz w:val="27"/>
                <w:szCs w:val="27"/>
              </w:rPr>
              <w:t>II. Tiesību akta projekta ietekme uz sabiedrību, tautsaimniecības attīstību un administratīvo slogu</w:t>
            </w:r>
          </w:p>
        </w:tc>
      </w:tr>
      <w:tr w:rsidR="00BD5588" w:rsidRPr="00B04DA1" w14:paraId="0F1F96E5" w14:textId="77777777" w:rsidTr="00D824C2">
        <w:trPr>
          <w:cantSplit/>
        </w:trPr>
        <w:tc>
          <w:tcPr>
            <w:tcW w:w="311" w:type="pct"/>
            <w:hideMark/>
          </w:tcPr>
          <w:p w14:paraId="358B30F8" w14:textId="77777777" w:rsidR="00BD5588" w:rsidRPr="00B04DA1" w:rsidRDefault="00BD5588" w:rsidP="00144D93">
            <w:pPr>
              <w:contextualSpacing/>
              <w:jc w:val="center"/>
              <w:rPr>
                <w:sz w:val="27"/>
                <w:szCs w:val="27"/>
              </w:rPr>
            </w:pPr>
            <w:r w:rsidRPr="00B04DA1">
              <w:rPr>
                <w:sz w:val="27"/>
                <w:szCs w:val="27"/>
              </w:rPr>
              <w:t>1.</w:t>
            </w:r>
          </w:p>
        </w:tc>
        <w:tc>
          <w:tcPr>
            <w:tcW w:w="1479" w:type="pct"/>
            <w:hideMark/>
          </w:tcPr>
          <w:p w14:paraId="37E25DC1" w14:textId="77777777" w:rsidR="00BD5588" w:rsidRPr="00B04DA1" w:rsidRDefault="00BD5588" w:rsidP="00144D93">
            <w:pPr>
              <w:contextualSpacing/>
              <w:rPr>
                <w:sz w:val="27"/>
                <w:szCs w:val="27"/>
              </w:rPr>
            </w:pPr>
            <w:r w:rsidRPr="00B04DA1">
              <w:rPr>
                <w:sz w:val="27"/>
                <w:szCs w:val="27"/>
              </w:rPr>
              <w:t xml:space="preserve">Sabiedrības </w:t>
            </w:r>
            <w:proofErr w:type="spellStart"/>
            <w:r w:rsidRPr="00B04DA1">
              <w:rPr>
                <w:sz w:val="27"/>
                <w:szCs w:val="27"/>
              </w:rPr>
              <w:t>mērķgrupas</w:t>
            </w:r>
            <w:proofErr w:type="spellEnd"/>
            <w:r w:rsidRPr="00B04DA1">
              <w:rPr>
                <w:sz w:val="27"/>
                <w:szCs w:val="27"/>
              </w:rPr>
              <w:t>, kuras tiesiskais regulējums ietekmē vai varētu ietekmēt</w:t>
            </w:r>
          </w:p>
        </w:tc>
        <w:tc>
          <w:tcPr>
            <w:tcW w:w="3210" w:type="pct"/>
            <w:hideMark/>
          </w:tcPr>
          <w:p w14:paraId="02338FC8" w14:textId="25DD9528" w:rsidR="00BD5588" w:rsidRPr="00B04DA1" w:rsidRDefault="00133A1D" w:rsidP="00133A1D">
            <w:pPr>
              <w:contextualSpacing/>
              <w:jc w:val="both"/>
              <w:rPr>
                <w:sz w:val="27"/>
                <w:szCs w:val="27"/>
              </w:rPr>
            </w:pPr>
            <w:r w:rsidRPr="00B04DA1">
              <w:rPr>
                <w:sz w:val="27"/>
                <w:szCs w:val="27"/>
              </w:rPr>
              <w:t>Plānotais tiesiskais regulējums ietekmēs visus būvniecības procesa dalībniekus, trešās personas, būvv</w:t>
            </w:r>
            <w:r w:rsidR="00CE3436">
              <w:rPr>
                <w:sz w:val="27"/>
                <w:szCs w:val="27"/>
              </w:rPr>
              <w:t>aldes, BVKB un citas institūcija</w:t>
            </w:r>
            <w:r w:rsidRPr="00B04DA1">
              <w:rPr>
                <w:sz w:val="27"/>
                <w:szCs w:val="27"/>
              </w:rPr>
              <w:t>s, kuras pilda būvvaldes funkcijas, kā arī šo personu darbiniekus.</w:t>
            </w:r>
          </w:p>
        </w:tc>
      </w:tr>
      <w:tr w:rsidR="00BD5588" w:rsidRPr="00B04DA1" w14:paraId="3CC0594D" w14:textId="77777777" w:rsidTr="00D824C2">
        <w:trPr>
          <w:cantSplit/>
        </w:trPr>
        <w:tc>
          <w:tcPr>
            <w:tcW w:w="311" w:type="pct"/>
            <w:hideMark/>
          </w:tcPr>
          <w:p w14:paraId="49EC7B40" w14:textId="77777777" w:rsidR="00BD5588" w:rsidRPr="00B04DA1" w:rsidRDefault="00BD5588" w:rsidP="00144D93">
            <w:pPr>
              <w:contextualSpacing/>
              <w:jc w:val="center"/>
              <w:rPr>
                <w:sz w:val="27"/>
                <w:szCs w:val="27"/>
              </w:rPr>
            </w:pPr>
            <w:r w:rsidRPr="00B04DA1">
              <w:rPr>
                <w:sz w:val="27"/>
                <w:szCs w:val="27"/>
              </w:rPr>
              <w:t>2.</w:t>
            </w:r>
          </w:p>
        </w:tc>
        <w:tc>
          <w:tcPr>
            <w:tcW w:w="1479" w:type="pct"/>
            <w:hideMark/>
          </w:tcPr>
          <w:p w14:paraId="10412F9A" w14:textId="77777777" w:rsidR="00BD5588" w:rsidRPr="00B04DA1" w:rsidRDefault="00BD5588" w:rsidP="00144D93">
            <w:pPr>
              <w:contextualSpacing/>
              <w:rPr>
                <w:sz w:val="27"/>
                <w:szCs w:val="27"/>
              </w:rPr>
            </w:pPr>
            <w:r w:rsidRPr="00B04DA1">
              <w:rPr>
                <w:sz w:val="27"/>
                <w:szCs w:val="27"/>
              </w:rPr>
              <w:t>Tiesiskā regulējuma ietekme uz tautsaimniecību un administratīvo slogu</w:t>
            </w:r>
          </w:p>
        </w:tc>
        <w:tc>
          <w:tcPr>
            <w:tcW w:w="3210" w:type="pct"/>
            <w:hideMark/>
          </w:tcPr>
          <w:p w14:paraId="2FCBE942" w14:textId="77777777" w:rsidR="00BD5588" w:rsidRPr="00B04DA1" w:rsidRDefault="00133A1D" w:rsidP="00FD6E15">
            <w:pPr>
              <w:contextualSpacing/>
              <w:jc w:val="both"/>
              <w:rPr>
                <w:sz w:val="27"/>
                <w:szCs w:val="27"/>
              </w:rPr>
            </w:pPr>
            <w:r w:rsidRPr="00B04DA1">
              <w:rPr>
                <w:sz w:val="27"/>
                <w:szCs w:val="27"/>
              </w:rPr>
              <w:t xml:space="preserve">Administratīvais slogs </w:t>
            </w:r>
            <w:r w:rsidR="00FD6E15" w:rsidRPr="00B04DA1">
              <w:rPr>
                <w:sz w:val="27"/>
                <w:szCs w:val="27"/>
              </w:rPr>
              <w:t xml:space="preserve">samazināsies būvkomersantiem, kuri sniedz tādus būvniecības pakalpojumus, kuru veikšanai nav nepieciešama būvvaldes atļauja. Šiem būvkomersantiem turpmāk šādu būvniecības pakalpojumu sniegšanai nebūs obligāti jānolīgst </w:t>
            </w:r>
            <w:proofErr w:type="spellStart"/>
            <w:r w:rsidR="00FD6E15" w:rsidRPr="00B04DA1">
              <w:rPr>
                <w:sz w:val="27"/>
                <w:szCs w:val="27"/>
              </w:rPr>
              <w:t>būvspeciālists</w:t>
            </w:r>
            <w:proofErr w:type="spellEnd"/>
            <w:r w:rsidR="00FD6E15" w:rsidRPr="00B04DA1">
              <w:rPr>
                <w:sz w:val="27"/>
                <w:szCs w:val="27"/>
              </w:rPr>
              <w:t>.</w:t>
            </w:r>
          </w:p>
        </w:tc>
      </w:tr>
      <w:tr w:rsidR="00BD5588" w:rsidRPr="00B04DA1" w14:paraId="31FC3A77" w14:textId="77777777" w:rsidTr="00D824C2">
        <w:trPr>
          <w:cantSplit/>
        </w:trPr>
        <w:tc>
          <w:tcPr>
            <w:tcW w:w="311" w:type="pct"/>
            <w:hideMark/>
          </w:tcPr>
          <w:p w14:paraId="3A2EAE06" w14:textId="77777777" w:rsidR="00BD5588" w:rsidRPr="00B04DA1" w:rsidRDefault="00BD5588" w:rsidP="00144D93">
            <w:pPr>
              <w:contextualSpacing/>
              <w:jc w:val="center"/>
              <w:rPr>
                <w:sz w:val="27"/>
                <w:szCs w:val="27"/>
              </w:rPr>
            </w:pPr>
            <w:r w:rsidRPr="00B04DA1">
              <w:rPr>
                <w:sz w:val="27"/>
                <w:szCs w:val="27"/>
              </w:rPr>
              <w:t>3.</w:t>
            </w:r>
          </w:p>
        </w:tc>
        <w:tc>
          <w:tcPr>
            <w:tcW w:w="1479" w:type="pct"/>
            <w:hideMark/>
          </w:tcPr>
          <w:p w14:paraId="2BD6E7DC" w14:textId="77777777" w:rsidR="00BD5588" w:rsidRPr="00B04DA1" w:rsidRDefault="00BD5588" w:rsidP="00144D93">
            <w:pPr>
              <w:contextualSpacing/>
              <w:rPr>
                <w:sz w:val="27"/>
                <w:szCs w:val="27"/>
              </w:rPr>
            </w:pPr>
            <w:r w:rsidRPr="00B04DA1">
              <w:rPr>
                <w:sz w:val="27"/>
                <w:szCs w:val="27"/>
              </w:rPr>
              <w:t>Administratīvo izmaksu monetārs novērtējums</w:t>
            </w:r>
          </w:p>
        </w:tc>
        <w:tc>
          <w:tcPr>
            <w:tcW w:w="3210" w:type="pct"/>
            <w:hideMark/>
          </w:tcPr>
          <w:p w14:paraId="6E89A7EE" w14:textId="77777777" w:rsidR="00BD5588" w:rsidRPr="00B04DA1" w:rsidRDefault="00FD6E15" w:rsidP="00144D93">
            <w:pPr>
              <w:contextualSpacing/>
              <w:rPr>
                <w:sz w:val="27"/>
                <w:szCs w:val="27"/>
              </w:rPr>
            </w:pPr>
            <w:r w:rsidRPr="00B04DA1">
              <w:rPr>
                <w:sz w:val="27"/>
                <w:szCs w:val="27"/>
              </w:rPr>
              <w:t>Projekts šo jomu neskar</w:t>
            </w:r>
          </w:p>
        </w:tc>
      </w:tr>
      <w:tr w:rsidR="00BD5588" w:rsidRPr="00B04DA1" w14:paraId="09FC418C" w14:textId="77777777" w:rsidTr="00D824C2">
        <w:trPr>
          <w:cantSplit/>
        </w:trPr>
        <w:tc>
          <w:tcPr>
            <w:tcW w:w="311" w:type="pct"/>
            <w:hideMark/>
          </w:tcPr>
          <w:p w14:paraId="345BBB60" w14:textId="77777777" w:rsidR="00BD5588" w:rsidRPr="00B04DA1" w:rsidRDefault="00BD5588" w:rsidP="00144D93">
            <w:pPr>
              <w:contextualSpacing/>
              <w:jc w:val="center"/>
              <w:rPr>
                <w:sz w:val="27"/>
                <w:szCs w:val="27"/>
              </w:rPr>
            </w:pPr>
            <w:r w:rsidRPr="00B04DA1">
              <w:rPr>
                <w:sz w:val="27"/>
                <w:szCs w:val="27"/>
              </w:rPr>
              <w:t>4.</w:t>
            </w:r>
          </w:p>
        </w:tc>
        <w:tc>
          <w:tcPr>
            <w:tcW w:w="1479" w:type="pct"/>
            <w:hideMark/>
          </w:tcPr>
          <w:p w14:paraId="3E302B0A" w14:textId="77777777" w:rsidR="00BD5588" w:rsidRPr="00B04DA1" w:rsidRDefault="00BD5588" w:rsidP="00144D93">
            <w:pPr>
              <w:contextualSpacing/>
              <w:rPr>
                <w:sz w:val="27"/>
                <w:szCs w:val="27"/>
              </w:rPr>
            </w:pPr>
            <w:r w:rsidRPr="00B04DA1">
              <w:rPr>
                <w:sz w:val="27"/>
                <w:szCs w:val="27"/>
              </w:rPr>
              <w:t>Atbilstības izmaksu monetārs novērtējums</w:t>
            </w:r>
          </w:p>
        </w:tc>
        <w:tc>
          <w:tcPr>
            <w:tcW w:w="3210" w:type="pct"/>
            <w:hideMark/>
          </w:tcPr>
          <w:p w14:paraId="58EFFE51" w14:textId="77777777" w:rsidR="00BD5588" w:rsidRPr="00B04DA1" w:rsidRDefault="00FD6E15" w:rsidP="00144D93">
            <w:pPr>
              <w:contextualSpacing/>
              <w:rPr>
                <w:sz w:val="27"/>
                <w:szCs w:val="27"/>
              </w:rPr>
            </w:pPr>
            <w:r w:rsidRPr="00B04DA1">
              <w:rPr>
                <w:sz w:val="27"/>
                <w:szCs w:val="27"/>
              </w:rPr>
              <w:t>Projekts šo jomu neskar</w:t>
            </w:r>
          </w:p>
        </w:tc>
      </w:tr>
      <w:tr w:rsidR="00BD5588" w:rsidRPr="00B04DA1" w14:paraId="18643BBB" w14:textId="77777777" w:rsidTr="00D824C2">
        <w:trPr>
          <w:cantSplit/>
        </w:trPr>
        <w:tc>
          <w:tcPr>
            <w:tcW w:w="311" w:type="pct"/>
            <w:hideMark/>
          </w:tcPr>
          <w:p w14:paraId="2D6B3C5A" w14:textId="77777777" w:rsidR="00BD5588" w:rsidRPr="00B04DA1" w:rsidRDefault="00BD5588" w:rsidP="00144D93">
            <w:pPr>
              <w:contextualSpacing/>
              <w:jc w:val="center"/>
              <w:rPr>
                <w:sz w:val="27"/>
                <w:szCs w:val="27"/>
              </w:rPr>
            </w:pPr>
            <w:r w:rsidRPr="00B04DA1">
              <w:rPr>
                <w:sz w:val="27"/>
                <w:szCs w:val="27"/>
              </w:rPr>
              <w:t>5.</w:t>
            </w:r>
          </w:p>
        </w:tc>
        <w:tc>
          <w:tcPr>
            <w:tcW w:w="1479" w:type="pct"/>
            <w:hideMark/>
          </w:tcPr>
          <w:p w14:paraId="05F70DC8" w14:textId="77777777" w:rsidR="00BD5588" w:rsidRPr="00B04DA1" w:rsidRDefault="00BD5588" w:rsidP="00144D93">
            <w:pPr>
              <w:contextualSpacing/>
              <w:rPr>
                <w:sz w:val="27"/>
                <w:szCs w:val="27"/>
              </w:rPr>
            </w:pPr>
            <w:r w:rsidRPr="00B04DA1">
              <w:rPr>
                <w:sz w:val="27"/>
                <w:szCs w:val="27"/>
              </w:rPr>
              <w:t>Cita informācija</w:t>
            </w:r>
          </w:p>
        </w:tc>
        <w:tc>
          <w:tcPr>
            <w:tcW w:w="3210" w:type="pct"/>
            <w:hideMark/>
          </w:tcPr>
          <w:p w14:paraId="71D87743" w14:textId="77777777" w:rsidR="00BD5588" w:rsidRPr="00B04DA1" w:rsidRDefault="00FD6E15" w:rsidP="00144D93">
            <w:pPr>
              <w:contextualSpacing/>
              <w:rPr>
                <w:sz w:val="27"/>
                <w:szCs w:val="27"/>
              </w:rPr>
            </w:pPr>
            <w:r w:rsidRPr="00B04DA1">
              <w:rPr>
                <w:sz w:val="27"/>
                <w:szCs w:val="27"/>
              </w:rPr>
              <w:t>Nav</w:t>
            </w:r>
          </w:p>
        </w:tc>
      </w:tr>
    </w:tbl>
    <w:p w14:paraId="5854281C" w14:textId="77777777" w:rsidR="00BD5588" w:rsidRPr="00B04DA1" w:rsidRDefault="00BD5588" w:rsidP="00144D93">
      <w:pPr>
        <w:contextualSpacing/>
        <w:rPr>
          <w:sz w:val="27"/>
          <w:szCs w:val="27"/>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99"/>
      </w:tblGrid>
      <w:tr w:rsidR="00BD5588" w:rsidRPr="00B04DA1" w14:paraId="4BFB24C1" w14:textId="77777777" w:rsidTr="00BD5588">
        <w:trPr>
          <w:cantSplit/>
        </w:trPr>
        <w:tc>
          <w:tcPr>
            <w:tcW w:w="8365" w:type="dxa"/>
            <w:shd w:val="clear" w:color="auto" w:fill="auto"/>
            <w:vAlign w:val="center"/>
            <w:hideMark/>
          </w:tcPr>
          <w:p w14:paraId="2F939656" w14:textId="77777777" w:rsidR="00BD5588" w:rsidRPr="00B04DA1" w:rsidRDefault="00BD5588" w:rsidP="00144D93">
            <w:pPr>
              <w:contextualSpacing/>
              <w:jc w:val="center"/>
              <w:rPr>
                <w:b/>
                <w:bCs/>
                <w:sz w:val="27"/>
                <w:szCs w:val="27"/>
                <w:lang w:eastAsia="en-US"/>
              </w:rPr>
            </w:pPr>
            <w:r w:rsidRPr="00B04DA1">
              <w:rPr>
                <w:b/>
                <w:bCs/>
                <w:sz w:val="27"/>
                <w:szCs w:val="27"/>
                <w:lang w:eastAsia="en-US"/>
              </w:rPr>
              <w:t>III. Tiesību akta projekta ietekme uz valsts budžetu un pašvaldību budžetiem</w:t>
            </w:r>
          </w:p>
        </w:tc>
      </w:tr>
      <w:tr w:rsidR="00FD6E15" w:rsidRPr="00B04DA1" w14:paraId="18682DF2" w14:textId="77777777" w:rsidTr="00FD6E15">
        <w:trPr>
          <w:cantSplit/>
          <w:trHeight w:val="435"/>
        </w:trPr>
        <w:tc>
          <w:tcPr>
            <w:tcW w:w="8365" w:type="dxa"/>
            <w:shd w:val="clear" w:color="auto" w:fill="FFFFFF"/>
            <w:vAlign w:val="center"/>
          </w:tcPr>
          <w:p w14:paraId="7CBDCCD6" w14:textId="77777777" w:rsidR="00FD6E15" w:rsidRPr="00B04DA1" w:rsidRDefault="00FD6E15" w:rsidP="00144D93">
            <w:pPr>
              <w:contextualSpacing/>
              <w:jc w:val="center"/>
              <w:rPr>
                <w:sz w:val="27"/>
                <w:szCs w:val="27"/>
                <w:lang w:eastAsia="en-US"/>
              </w:rPr>
            </w:pPr>
            <w:r w:rsidRPr="00B04DA1">
              <w:rPr>
                <w:sz w:val="27"/>
                <w:szCs w:val="27"/>
              </w:rPr>
              <w:t>Projekts šo jomu neskar</w:t>
            </w:r>
          </w:p>
        </w:tc>
      </w:tr>
    </w:tbl>
    <w:p w14:paraId="6FB76EA9" w14:textId="77777777" w:rsidR="004E1BF0" w:rsidRPr="00B04DA1" w:rsidRDefault="004E1BF0" w:rsidP="00144D93">
      <w:pPr>
        <w:pStyle w:val="Title"/>
        <w:ind w:firstLine="539"/>
        <w:contextualSpacing/>
        <w:jc w:val="both"/>
        <w:rPr>
          <w:sz w:val="27"/>
          <w:szCs w:val="27"/>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23"/>
        <w:gridCol w:w="2442"/>
        <w:gridCol w:w="5334"/>
      </w:tblGrid>
      <w:tr w:rsidR="004E1BF0" w:rsidRPr="00B04DA1" w14:paraId="58D79B5E" w14:textId="77777777" w:rsidTr="00A108E3">
        <w:tc>
          <w:tcPr>
            <w:tcW w:w="8365" w:type="dxa"/>
            <w:gridSpan w:val="3"/>
            <w:vAlign w:val="center"/>
            <w:hideMark/>
          </w:tcPr>
          <w:p w14:paraId="6B1D29C0" w14:textId="77777777" w:rsidR="004E1BF0" w:rsidRPr="00B04DA1" w:rsidRDefault="004E1BF0" w:rsidP="00D824C2">
            <w:pPr>
              <w:contextualSpacing/>
              <w:jc w:val="center"/>
              <w:rPr>
                <w:b/>
                <w:bCs/>
                <w:sz w:val="27"/>
                <w:szCs w:val="27"/>
              </w:rPr>
            </w:pPr>
            <w:r w:rsidRPr="00B04DA1">
              <w:rPr>
                <w:b/>
                <w:bCs/>
                <w:sz w:val="27"/>
                <w:szCs w:val="27"/>
              </w:rPr>
              <w:lastRenderedPageBreak/>
              <w:t>IV. Tiesību akta projekta ietekme uz spēkā esošo tiesību normu sistēmu</w:t>
            </w:r>
          </w:p>
        </w:tc>
      </w:tr>
      <w:tr w:rsidR="004E1BF0" w:rsidRPr="00B04DA1" w14:paraId="474C5F5A" w14:textId="77777777" w:rsidTr="00A108E3">
        <w:tc>
          <w:tcPr>
            <w:tcW w:w="527" w:type="dxa"/>
            <w:hideMark/>
          </w:tcPr>
          <w:p w14:paraId="62703F49" w14:textId="77777777" w:rsidR="004E1BF0" w:rsidRPr="00B04DA1" w:rsidRDefault="004E1BF0" w:rsidP="00D824C2">
            <w:pPr>
              <w:contextualSpacing/>
              <w:jc w:val="center"/>
              <w:rPr>
                <w:sz w:val="27"/>
                <w:szCs w:val="27"/>
              </w:rPr>
            </w:pPr>
            <w:r w:rsidRPr="00B04DA1">
              <w:rPr>
                <w:sz w:val="27"/>
                <w:szCs w:val="27"/>
              </w:rPr>
              <w:t>1.</w:t>
            </w:r>
          </w:p>
        </w:tc>
        <w:tc>
          <w:tcPr>
            <w:tcW w:w="2461" w:type="dxa"/>
            <w:hideMark/>
          </w:tcPr>
          <w:p w14:paraId="0738C112" w14:textId="77777777" w:rsidR="004E1BF0" w:rsidRPr="00B04DA1" w:rsidRDefault="004E1BF0" w:rsidP="00D824C2">
            <w:pPr>
              <w:contextualSpacing/>
              <w:rPr>
                <w:sz w:val="27"/>
                <w:szCs w:val="27"/>
              </w:rPr>
            </w:pPr>
            <w:r w:rsidRPr="00B04DA1">
              <w:rPr>
                <w:sz w:val="27"/>
                <w:szCs w:val="27"/>
              </w:rPr>
              <w:t>Saistītie tiesību aktu projekti</w:t>
            </w:r>
          </w:p>
        </w:tc>
        <w:tc>
          <w:tcPr>
            <w:tcW w:w="5377" w:type="dxa"/>
            <w:hideMark/>
          </w:tcPr>
          <w:p w14:paraId="27537215" w14:textId="77777777" w:rsidR="004E1BF0" w:rsidRPr="00B04DA1" w:rsidRDefault="00087F90" w:rsidP="00087F90">
            <w:pPr>
              <w:contextualSpacing/>
              <w:jc w:val="both"/>
              <w:rPr>
                <w:sz w:val="27"/>
                <w:szCs w:val="27"/>
              </w:rPr>
            </w:pPr>
            <w:r w:rsidRPr="00B04DA1">
              <w:rPr>
                <w:sz w:val="27"/>
                <w:szCs w:val="27"/>
              </w:rPr>
              <w:t>Ņemot vērā likumprojektā ietverto regulējumu attiecībā uz lēmumu pieņemšanas termiņiem būvniecības administratīvā procesā, līdz 01.07.2019. Ministru kabinetam ir jāpieņem grozījumi Ministru kabineta 19.08.2014.  noteikumos Nr.500 „Vispārīgie būvnoteikumi” – nosakot lēmumu pieņemšanas termiņus būvniecības administratīvajā procesā. Papildus, ņemot vērā plānotos grozījumus Būvniecības likuma 6.</w:t>
            </w:r>
            <w:r w:rsidRPr="00B04DA1">
              <w:rPr>
                <w:sz w:val="27"/>
                <w:szCs w:val="27"/>
                <w:vertAlign w:val="superscript"/>
              </w:rPr>
              <w:t>1</w:t>
            </w:r>
            <w:r w:rsidRPr="00B04DA1">
              <w:rPr>
                <w:sz w:val="27"/>
                <w:szCs w:val="27"/>
              </w:rPr>
              <w:t> pantā būs nepieciešami grozījumi Ministru kabineta 14.10.2014. noteikumos Nr.631 „Latvijas Republikas iekšējo jūras ūdeņu, teritoriālās jūras un ekskluzīvās ekonomiskās zonas būvju būvnoteikumi” un Ministru kabineta 30.09.2014. noteikumos Nr.576 „Būvniecības valsts kontroles biroja nolikums”. Savukārt saistībā ar izmaiņām Būvniecības likuma 12.</w:t>
            </w:r>
            <w:r w:rsidR="00A108E3" w:rsidRPr="00B04DA1">
              <w:rPr>
                <w:sz w:val="27"/>
                <w:szCs w:val="27"/>
              </w:rPr>
              <w:t> </w:t>
            </w:r>
            <w:r w:rsidRPr="00B04DA1">
              <w:rPr>
                <w:sz w:val="27"/>
                <w:szCs w:val="27"/>
              </w:rPr>
              <w:t>pantā būs nepieciešami grozījumi Latvij</w:t>
            </w:r>
            <w:r w:rsidR="00A108E3" w:rsidRPr="00B04DA1">
              <w:rPr>
                <w:sz w:val="27"/>
                <w:szCs w:val="27"/>
              </w:rPr>
              <w:t xml:space="preserve">as Okupācijas muzeja likumā un </w:t>
            </w:r>
            <w:r w:rsidRPr="00B04DA1">
              <w:rPr>
                <w:sz w:val="27"/>
                <w:szCs w:val="27"/>
              </w:rPr>
              <w:t>Ministru kabineta 23.11.2004. noteikumos Nr.962 „Valsts vides dienesta nolikums”.</w:t>
            </w:r>
          </w:p>
        </w:tc>
      </w:tr>
      <w:tr w:rsidR="004E1BF0" w:rsidRPr="00B04DA1" w14:paraId="40541EDA" w14:textId="77777777" w:rsidTr="00A108E3">
        <w:tc>
          <w:tcPr>
            <w:tcW w:w="527" w:type="dxa"/>
            <w:hideMark/>
          </w:tcPr>
          <w:p w14:paraId="57F2E3B9" w14:textId="77777777" w:rsidR="004E1BF0" w:rsidRPr="00B04DA1" w:rsidRDefault="004E1BF0" w:rsidP="00D824C2">
            <w:pPr>
              <w:contextualSpacing/>
              <w:jc w:val="center"/>
              <w:rPr>
                <w:sz w:val="27"/>
                <w:szCs w:val="27"/>
              </w:rPr>
            </w:pPr>
            <w:r w:rsidRPr="00B04DA1">
              <w:rPr>
                <w:sz w:val="27"/>
                <w:szCs w:val="27"/>
              </w:rPr>
              <w:t>2.</w:t>
            </w:r>
          </w:p>
        </w:tc>
        <w:tc>
          <w:tcPr>
            <w:tcW w:w="2461" w:type="dxa"/>
            <w:hideMark/>
          </w:tcPr>
          <w:p w14:paraId="1C171CDB" w14:textId="77777777" w:rsidR="004E1BF0" w:rsidRPr="00B04DA1" w:rsidRDefault="004E1BF0" w:rsidP="00D824C2">
            <w:pPr>
              <w:contextualSpacing/>
              <w:rPr>
                <w:sz w:val="27"/>
                <w:szCs w:val="27"/>
              </w:rPr>
            </w:pPr>
            <w:r w:rsidRPr="00B04DA1">
              <w:rPr>
                <w:sz w:val="27"/>
                <w:szCs w:val="27"/>
              </w:rPr>
              <w:t>Atbildīgā institūcija</w:t>
            </w:r>
          </w:p>
        </w:tc>
        <w:tc>
          <w:tcPr>
            <w:tcW w:w="5377" w:type="dxa"/>
            <w:hideMark/>
          </w:tcPr>
          <w:p w14:paraId="3DBABF92" w14:textId="77777777" w:rsidR="004E1BF0" w:rsidRPr="00B04DA1" w:rsidRDefault="00087F90" w:rsidP="00D824C2">
            <w:pPr>
              <w:contextualSpacing/>
              <w:rPr>
                <w:sz w:val="27"/>
                <w:szCs w:val="27"/>
              </w:rPr>
            </w:pPr>
            <w:r w:rsidRPr="00B04DA1">
              <w:rPr>
                <w:sz w:val="27"/>
                <w:szCs w:val="27"/>
              </w:rPr>
              <w:t>Ekonomikas ministrija un Vides aizsardzības un reģionālās attīstības ministrija</w:t>
            </w:r>
            <w:r w:rsidR="00E376B2" w:rsidRPr="00B04DA1">
              <w:rPr>
                <w:sz w:val="27"/>
                <w:szCs w:val="27"/>
              </w:rPr>
              <w:t>.</w:t>
            </w:r>
          </w:p>
        </w:tc>
      </w:tr>
      <w:tr w:rsidR="004E1BF0" w:rsidRPr="00B04DA1" w14:paraId="17D6E9EE" w14:textId="77777777" w:rsidTr="00A108E3">
        <w:tc>
          <w:tcPr>
            <w:tcW w:w="527" w:type="dxa"/>
            <w:hideMark/>
          </w:tcPr>
          <w:p w14:paraId="763070BA" w14:textId="77777777" w:rsidR="004E1BF0" w:rsidRPr="00B04DA1" w:rsidRDefault="004E1BF0" w:rsidP="00D824C2">
            <w:pPr>
              <w:contextualSpacing/>
              <w:jc w:val="center"/>
              <w:rPr>
                <w:sz w:val="27"/>
                <w:szCs w:val="27"/>
              </w:rPr>
            </w:pPr>
            <w:r w:rsidRPr="00B04DA1">
              <w:rPr>
                <w:sz w:val="27"/>
                <w:szCs w:val="27"/>
              </w:rPr>
              <w:t>3.</w:t>
            </w:r>
          </w:p>
        </w:tc>
        <w:tc>
          <w:tcPr>
            <w:tcW w:w="2461" w:type="dxa"/>
            <w:hideMark/>
          </w:tcPr>
          <w:p w14:paraId="3B61801D" w14:textId="77777777" w:rsidR="004E1BF0" w:rsidRPr="00B04DA1" w:rsidRDefault="004E1BF0" w:rsidP="00D824C2">
            <w:pPr>
              <w:contextualSpacing/>
              <w:rPr>
                <w:sz w:val="27"/>
                <w:szCs w:val="27"/>
              </w:rPr>
            </w:pPr>
            <w:r w:rsidRPr="00B04DA1">
              <w:rPr>
                <w:sz w:val="27"/>
                <w:szCs w:val="27"/>
              </w:rPr>
              <w:t>Cita informācija</w:t>
            </w:r>
          </w:p>
        </w:tc>
        <w:tc>
          <w:tcPr>
            <w:tcW w:w="5377" w:type="dxa"/>
            <w:hideMark/>
          </w:tcPr>
          <w:p w14:paraId="267CABC8" w14:textId="77777777" w:rsidR="004E1BF0" w:rsidRPr="00B04DA1" w:rsidRDefault="00E376B2" w:rsidP="00D824C2">
            <w:pPr>
              <w:contextualSpacing/>
              <w:rPr>
                <w:sz w:val="27"/>
                <w:szCs w:val="27"/>
              </w:rPr>
            </w:pPr>
            <w:r w:rsidRPr="00B04DA1">
              <w:rPr>
                <w:sz w:val="27"/>
                <w:szCs w:val="27"/>
              </w:rPr>
              <w:t>Nav</w:t>
            </w:r>
          </w:p>
        </w:tc>
      </w:tr>
    </w:tbl>
    <w:p w14:paraId="2AD913DF" w14:textId="77777777" w:rsidR="004E1BF0" w:rsidRPr="00B04DA1" w:rsidRDefault="004E1BF0" w:rsidP="00144D93">
      <w:pPr>
        <w:pStyle w:val="Title"/>
        <w:ind w:firstLine="539"/>
        <w:contextualSpacing/>
        <w:jc w:val="both"/>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296"/>
      </w:tblGrid>
      <w:tr w:rsidR="00BD5588" w:rsidRPr="00B04DA1" w14:paraId="6C9C8699" w14:textId="77777777" w:rsidTr="00D824C2">
        <w:trPr>
          <w:cantSplit/>
        </w:trPr>
        <w:tc>
          <w:tcPr>
            <w:tcW w:w="5000" w:type="pct"/>
            <w:vAlign w:val="center"/>
            <w:hideMark/>
          </w:tcPr>
          <w:p w14:paraId="64DC25A1" w14:textId="77777777" w:rsidR="00BD5588" w:rsidRPr="00B04DA1" w:rsidRDefault="00BD5588" w:rsidP="00144D93">
            <w:pPr>
              <w:contextualSpacing/>
              <w:jc w:val="center"/>
              <w:rPr>
                <w:b/>
                <w:bCs/>
                <w:sz w:val="27"/>
                <w:szCs w:val="27"/>
              </w:rPr>
            </w:pPr>
            <w:r w:rsidRPr="00B04DA1">
              <w:rPr>
                <w:b/>
                <w:bCs/>
                <w:sz w:val="27"/>
                <w:szCs w:val="27"/>
              </w:rPr>
              <w:t>V. Tiesību akta projekta atbilstība Latvijas Republikas starptautiskajām saistībām</w:t>
            </w:r>
          </w:p>
        </w:tc>
      </w:tr>
      <w:tr w:rsidR="00FD6E15" w:rsidRPr="00B04DA1" w14:paraId="1BAC662E" w14:textId="77777777" w:rsidTr="00FD6E15">
        <w:trPr>
          <w:cantSplit/>
          <w:trHeight w:val="556"/>
        </w:trPr>
        <w:tc>
          <w:tcPr>
            <w:tcW w:w="5000" w:type="pct"/>
          </w:tcPr>
          <w:p w14:paraId="4BE4981D" w14:textId="77777777" w:rsidR="00FD6E15" w:rsidRPr="00B04DA1" w:rsidRDefault="00FD6E15" w:rsidP="00FD6E15">
            <w:pPr>
              <w:contextualSpacing/>
              <w:jc w:val="center"/>
              <w:rPr>
                <w:sz w:val="27"/>
                <w:szCs w:val="27"/>
              </w:rPr>
            </w:pPr>
            <w:r w:rsidRPr="00B04DA1">
              <w:rPr>
                <w:sz w:val="27"/>
                <w:szCs w:val="27"/>
              </w:rPr>
              <w:t>Projekts šo jomu neskar</w:t>
            </w:r>
          </w:p>
        </w:tc>
      </w:tr>
    </w:tbl>
    <w:p w14:paraId="3FD8BDCA" w14:textId="77777777" w:rsidR="00A3156A" w:rsidRPr="00B04DA1" w:rsidRDefault="00A3156A" w:rsidP="00144D93">
      <w:pPr>
        <w:pStyle w:val="Title"/>
        <w:ind w:firstLine="539"/>
        <w:contextualSpacing/>
        <w:jc w:val="both"/>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B04DA1" w14:paraId="0814C420" w14:textId="77777777" w:rsidTr="00D824C2">
        <w:trPr>
          <w:cantSplit/>
        </w:trPr>
        <w:tc>
          <w:tcPr>
            <w:tcW w:w="5000" w:type="pct"/>
            <w:gridSpan w:val="3"/>
            <w:vAlign w:val="center"/>
            <w:hideMark/>
          </w:tcPr>
          <w:p w14:paraId="78F5C85E" w14:textId="77777777" w:rsidR="00BD5588" w:rsidRPr="00B04DA1" w:rsidRDefault="00BD5588" w:rsidP="00144D93">
            <w:pPr>
              <w:contextualSpacing/>
              <w:jc w:val="center"/>
              <w:rPr>
                <w:b/>
                <w:bCs/>
                <w:sz w:val="27"/>
                <w:szCs w:val="27"/>
              </w:rPr>
            </w:pPr>
            <w:r w:rsidRPr="00B04DA1">
              <w:rPr>
                <w:b/>
                <w:bCs/>
                <w:sz w:val="27"/>
                <w:szCs w:val="27"/>
              </w:rPr>
              <w:t>VI. Sabiedrības līdzdalība un komunikācijas aktivitātes</w:t>
            </w:r>
          </w:p>
        </w:tc>
      </w:tr>
      <w:tr w:rsidR="00BD5588" w:rsidRPr="00B04DA1" w14:paraId="787AB3A9" w14:textId="77777777" w:rsidTr="00D824C2">
        <w:trPr>
          <w:cantSplit/>
        </w:trPr>
        <w:tc>
          <w:tcPr>
            <w:tcW w:w="311" w:type="pct"/>
            <w:hideMark/>
          </w:tcPr>
          <w:p w14:paraId="1FB4AA69" w14:textId="77777777" w:rsidR="00BD5588" w:rsidRPr="00B04DA1" w:rsidRDefault="00BD5588" w:rsidP="00144D93">
            <w:pPr>
              <w:contextualSpacing/>
              <w:jc w:val="center"/>
              <w:rPr>
                <w:sz w:val="27"/>
                <w:szCs w:val="27"/>
              </w:rPr>
            </w:pPr>
            <w:r w:rsidRPr="00B04DA1">
              <w:rPr>
                <w:sz w:val="27"/>
                <w:szCs w:val="27"/>
              </w:rPr>
              <w:t>1.</w:t>
            </w:r>
          </w:p>
        </w:tc>
        <w:tc>
          <w:tcPr>
            <w:tcW w:w="1479" w:type="pct"/>
            <w:hideMark/>
          </w:tcPr>
          <w:p w14:paraId="70FA4D1E" w14:textId="77777777" w:rsidR="00BD5588" w:rsidRPr="00B04DA1" w:rsidRDefault="00BD5588" w:rsidP="00144D93">
            <w:pPr>
              <w:contextualSpacing/>
              <w:rPr>
                <w:sz w:val="27"/>
                <w:szCs w:val="27"/>
              </w:rPr>
            </w:pPr>
            <w:r w:rsidRPr="00B04DA1">
              <w:rPr>
                <w:sz w:val="27"/>
                <w:szCs w:val="27"/>
              </w:rPr>
              <w:t>Plānotās sabiedrības līdzdalības un komunikācijas aktivitātes saistībā ar projektu</w:t>
            </w:r>
          </w:p>
        </w:tc>
        <w:tc>
          <w:tcPr>
            <w:tcW w:w="3210" w:type="pct"/>
            <w:hideMark/>
          </w:tcPr>
          <w:p w14:paraId="4D6D62F8" w14:textId="77777777" w:rsidR="00BD5588" w:rsidRPr="00B04DA1" w:rsidRDefault="00E376B2" w:rsidP="00A108E3">
            <w:pPr>
              <w:contextualSpacing/>
              <w:jc w:val="both"/>
              <w:rPr>
                <w:sz w:val="27"/>
                <w:szCs w:val="27"/>
              </w:rPr>
            </w:pPr>
            <w:r w:rsidRPr="00B04DA1">
              <w:rPr>
                <w:sz w:val="27"/>
                <w:szCs w:val="27"/>
              </w:rPr>
              <w:t xml:space="preserve">Saskaņā ar Ministru kabineta 25.08.2009. noteikumu Nr.970 “Sabiedrības līdzdalības kārtība attīstības plānošanas procesā” 5.punktu tiks nodrošināta atbilstoša sabiedrības līdzdalība. Vienlaikus par likumprojektu izstrādi </w:t>
            </w:r>
            <w:r w:rsidR="00A108E3" w:rsidRPr="00B04DA1">
              <w:rPr>
                <w:sz w:val="27"/>
                <w:szCs w:val="27"/>
              </w:rPr>
              <w:t>ir</w:t>
            </w:r>
            <w:r w:rsidRPr="00B04DA1">
              <w:rPr>
                <w:sz w:val="27"/>
                <w:szCs w:val="27"/>
              </w:rPr>
              <w:t xml:space="preserve"> informēta Latvijas Būvniecības padome, kā arī likumprojekta izstrādi ir informētas tās būvniecības jomas nevalstiskās organizācijas, kuras piedalījās atbilstošajā darba grupā.</w:t>
            </w:r>
          </w:p>
        </w:tc>
      </w:tr>
      <w:tr w:rsidR="00BD5588" w:rsidRPr="00B04DA1" w14:paraId="718E60D3" w14:textId="77777777" w:rsidTr="00D824C2">
        <w:trPr>
          <w:cantSplit/>
        </w:trPr>
        <w:tc>
          <w:tcPr>
            <w:tcW w:w="311" w:type="pct"/>
            <w:hideMark/>
          </w:tcPr>
          <w:p w14:paraId="164B45FF" w14:textId="77777777" w:rsidR="00BD5588" w:rsidRPr="00B04DA1" w:rsidRDefault="00BD5588" w:rsidP="00144D93">
            <w:pPr>
              <w:contextualSpacing/>
              <w:jc w:val="center"/>
              <w:rPr>
                <w:sz w:val="27"/>
                <w:szCs w:val="27"/>
              </w:rPr>
            </w:pPr>
            <w:r w:rsidRPr="00B04DA1">
              <w:rPr>
                <w:sz w:val="27"/>
                <w:szCs w:val="27"/>
              </w:rPr>
              <w:lastRenderedPageBreak/>
              <w:t>2.</w:t>
            </w:r>
          </w:p>
        </w:tc>
        <w:tc>
          <w:tcPr>
            <w:tcW w:w="1479" w:type="pct"/>
            <w:hideMark/>
          </w:tcPr>
          <w:p w14:paraId="60C8F4D1" w14:textId="77777777" w:rsidR="00BD5588" w:rsidRPr="00B04DA1" w:rsidRDefault="00BD5588" w:rsidP="00144D93">
            <w:pPr>
              <w:contextualSpacing/>
              <w:rPr>
                <w:sz w:val="27"/>
                <w:szCs w:val="27"/>
              </w:rPr>
            </w:pPr>
            <w:r w:rsidRPr="00B04DA1">
              <w:rPr>
                <w:sz w:val="27"/>
                <w:szCs w:val="27"/>
              </w:rPr>
              <w:t>Sabiedrības līdzdalība projekta izstrādē</w:t>
            </w:r>
          </w:p>
        </w:tc>
        <w:tc>
          <w:tcPr>
            <w:tcW w:w="3210" w:type="pct"/>
            <w:hideMark/>
          </w:tcPr>
          <w:p w14:paraId="1864E413" w14:textId="77777777" w:rsidR="00BD5588" w:rsidRPr="00B04DA1" w:rsidRDefault="00E376B2" w:rsidP="00144D93">
            <w:pPr>
              <w:contextualSpacing/>
              <w:rPr>
                <w:sz w:val="27"/>
                <w:szCs w:val="27"/>
              </w:rPr>
            </w:pPr>
            <w:r w:rsidRPr="00B04DA1">
              <w:rPr>
                <w:sz w:val="27"/>
                <w:szCs w:val="27"/>
              </w:rPr>
              <w:t>Projekts šo jomu neskar</w:t>
            </w:r>
          </w:p>
        </w:tc>
      </w:tr>
      <w:tr w:rsidR="00BD5588" w:rsidRPr="00B04DA1" w14:paraId="1ABFF10D" w14:textId="77777777" w:rsidTr="00D824C2">
        <w:trPr>
          <w:cantSplit/>
        </w:trPr>
        <w:tc>
          <w:tcPr>
            <w:tcW w:w="311" w:type="pct"/>
            <w:hideMark/>
          </w:tcPr>
          <w:p w14:paraId="7E257A21" w14:textId="77777777" w:rsidR="00BD5588" w:rsidRPr="00B04DA1" w:rsidRDefault="00BD5588" w:rsidP="00144D93">
            <w:pPr>
              <w:contextualSpacing/>
              <w:jc w:val="center"/>
              <w:rPr>
                <w:sz w:val="27"/>
                <w:szCs w:val="27"/>
              </w:rPr>
            </w:pPr>
            <w:r w:rsidRPr="00B04DA1">
              <w:rPr>
                <w:sz w:val="27"/>
                <w:szCs w:val="27"/>
              </w:rPr>
              <w:t>3.</w:t>
            </w:r>
          </w:p>
        </w:tc>
        <w:tc>
          <w:tcPr>
            <w:tcW w:w="1479" w:type="pct"/>
            <w:hideMark/>
          </w:tcPr>
          <w:p w14:paraId="7ECB5160" w14:textId="77777777" w:rsidR="00BD5588" w:rsidRPr="00B04DA1" w:rsidRDefault="00BD5588" w:rsidP="00144D93">
            <w:pPr>
              <w:contextualSpacing/>
              <w:rPr>
                <w:sz w:val="27"/>
                <w:szCs w:val="27"/>
              </w:rPr>
            </w:pPr>
            <w:r w:rsidRPr="00B04DA1">
              <w:rPr>
                <w:sz w:val="27"/>
                <w:szCs w:val="27"/>
              </w:rPr>
              <w:t>Sabiedrības līdzdalības rezultāti</w:t>
            </w:r>
          </w:p>
        </w:tc>
        <w:tc>
          <w:tcPr>
            <w:tcW w:w="3210" w:type="pct"/>
            <w:hideMark/>
          </w:tcPr>
          <w:p w14:paraId="58FDC6C9" w14:textId="77777777" w:rsidR="00BD5588" w:rsidRPr="00B04DA1" w:rsidRDefault="00E376B2" w:rsidP="00144D93">
            <w:pPr>
              <w:contextualSpacing/>
              <w:rPr>
                <w:sz w:val="27"/>
                <w:szCs w:val="27"/>
              </w:rPr>
            </w:pPr>
            <w:r w:rsidRPr="00B04DA1">
              <w:rPr>
                <w:sz w:val="27"/>
                <w:szCs w:val="27"/>
              </w:rPr>
              <w:t>Projekts šo jomu neskar</w:t>
            </w:r>
          </w:p>
        </w:tc>
      </w:tr>
      <w:tr w:rsidR="00BD5588" w:rsidRPr="00B04DA1" w14:paraId="1BD4B67E" w14:textId="77777777" w:rsidTr="00D824C2">
        <w:trPr>
          <w:cantSplit/>
        </w:trPr>
        <w:tc>
          <w:tcPr>
            <w:tcW w:w="311" w:type="pct"/>
            <w:hideMark/>
          </w:tcPr>
          <w:p w14:paraId="508F4601" w14:textId="77777777" w:rsidR="00BD5588" w:rsidRPr="00B04DA1" w:rsidRDefault="00BD5588" w:rsidP="00144D93">
            <w:pPr>
              <w:contextualSpacing/>
              <w:jc w:val="center"/>
              <w:rPr>
                <w:sz w:val="27"/>
                <w:szCs w:val="27"/>
              </w:rPr>
            </w:pPr>
            <w:r w:rsidRPr="00B04DA1">
              <w:rPr>
                <w:sz w:val="27"/>
                <w:szCs w:val="27"/>
              </w:rPr>
              <w:t>4.</w:t>
            </w:r>
          </w:p>
        </w:tc>
        <w:tc>
          <w:tcPr>
            <w:tcW w:w="1479" w:type="pct"/>
            <w:hideMark/>
          </w:tcPr>
          <w:p w14:paraId="237D7CBE" w14:textId="77777777" w:rsidR="00BD5588" w:rsidRPr="00B04DA1" w:rsidRDefault="00BD5588" w:rsidP="00144D93">
            <w:pPr>
              <w:contextualSpacing/>
              <w:rPr>
                <w:sz w:val="27"/>
                <w:szCs w:val="27"/>
              </w:rPr>
            </w:pPr>
            <w:r w:rsidRPr="00B04DA1">
              <w:rPr>
                <w:sz w:val="27"/>
                <w:szCs w:val="27"/>
              </w:rPr>
              <w:t>Cita informācija</w:t>
            </w:r>
          </w:p>
        </w:tc>
        <w:tc>
          <w:tcPr>
            <w:tcW w:w="3210" w:type="pct"/>
            <w:hideMark/>
          </w:tcPr>
          <w:p w14:paraId="2027397A" w14:textId="77777777" w:rsidR="00BD5588" w:rsidRPr="00B04DA1" w:rsidRDefault="00E376B2" w:rsidP="00144D93">
            <w:pPr>
              <w:contextualSpacing/>
              <w:rPr>
                <w:sz w:val="27"/>
                <w:szCs w:val="27"/>
              </w:rPr>
            </w:pPr>
            <w:r w:rsidRPr="00B04DA1">
              <w:rPr>
                <w:sz w:val="27"/>
                <w:szCs w:val="27"/>
              </w:rPr>
              <w:t>Nav</w:t>
            </w:r>
            <w:r w:rsidR="00BD5588" w:rsidRPr="00B04DA1">
              <w:rPr>
                <w:sz w:val="27"/>
                <w:szCs w:val="27"/>
              </w:rPr>
              <w:t>"</w:t>
            </w:r>
          </w:p>
        </w:tc>
      </w:tr>
    </w:tbl>
    <w:p w14:paraId="4A69C9F4" w14:textId="77777777" w:rsidR="00BD5588" w:rsidRPr="00B04DA1" w:rsidRDefault="00BD5588" w:rsidP="00144D93">
      <w:pPr>
        <w:pStyle w:val="Title"/>
        <w:ind w:firstLine="539"/>
        <w:contextualSpacing/>
        <w:jc w:val="both"/>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B04DA1" w14:paraId="4E3FDEFF" w14:textId="77777777" w:rsidTr="00D824C2">
        <w:trPr>
          <w:cantSplit/>
        </w:trPr>
        <w:tc>
          <w:tcPr>
            <w:tcW w:w="5000" w:type="pct"/>
            <w:gridSpan w:val="3"/>
            <w:vAlign w:val="center"/>
            <w:hideMark/>
          </w:tcPr>
          <w:p w14:paraId="577568BC" w14:textId="77777777" w:rsidR="00BD5588" w:rsidRPr="00B04DA1" w:rsidRDefault="00BD5588" w:rsidP="00144D93">
            <w:pPr>
              <w:contextualSpacing/>
              <w:jc w:val="center"/>
              <w:rPr>
                <w:b/>
                <w:bCs/>
                <w:sz w:val="27"/>
                <w:szCs w:val="27"/>
              </w:rPr>
            </w:pPr>
            <w:r w:rsidRPr="00B04DA1">
              <w:rPr>
                <w:b/>
                <w:bCs/>
                <w:sz w:val="27"/>
                <w:szCs w:val="27"/>
              </w:rPr>
              <w:t>VII. Tiesību akta projekta izpildes nodrošināšana un tās ietekme uz institūcijām</w:t>
            </w:r>
          </w:p>
        </w:tc>
      </w:tr>
      <w:tr w:rsidR="00BD5588" w:rsidRPr="00B04DA1" w14:paraId="1F98F84C" w14:textId="77777777" w:rsidTr="00D824C2">
        <w:trPr>
          <w:cantSplit/>
        </w:trPr>
        <w:tc>
          <w:tcPr>
            <w:tcW w:w="311" w:type="pct"/>
            <w:hideMark/>
          </w:tcPr>
          <w:p w14:paraId="035AA94B" w14:textId="77777777" w:rsidR="00BD5588" w:rsidRPr="00B04DA1" w:rsidRDefault="00BD5588" w:rsidP="00144D93">
            <w:pPr>
              <w:contextualSpacing/>
              <w:jc w:val="center"/>
              <w:rPr>
                <w:sz w:val="27"/>
                <w:szCs w:val="27"/>
              </w:rPr>
            </w:pPr>
            <w:r w:rsidRPr="00B04DA1">
              <w:rPr>
                <w:sz w:val="27"/>
                <w:szCs w:val="27"/>
              </w:rPr>
              <w:t>1.</w:t>
            </w:r>
          </w:p>
        </w:tc>
        <w:tc>
          <w:tcPr>
            <w:tcW w:w="1479" w:type="pct"/>
            <w:hideMark/>
          </w:tcPr>
          <w:p w14:paraId="481D4EC1" w14:textId="77777777" w:rsidR="00BD5588" w:rsidRPr="00B04DA1" w:rsidRDefault="00BD5588" w:rsidP="00144D93">
            <w:pPr>
              <w:contextualSpacing/>
              <w:rPr>
                <w:sz w:val="27"/>
                <w:szCs w:val="27"/>
              </w:rPr>
            </w:pPr>
            <w:r w:rsidRPr="00B04DA1">
              <w:rPr>
                <w:sz w:val="27"/>
                <w:szCs w:val="27"/>
              </w:rPr>
              <w:t>Projekta izpildē iesaistītās institūcijas</w:t>
            </w:r>
          </w:p>
        </w:tc>
        <w:tc>
          <w:tcPr>
            <w:tcW w:w="3210" w:type="pct"/>
            <w:hideMark/>
          </w:tcPr>
          <w:p w14:paraId="276317E8" w14:textId="77777777" w:rsidR="00BD5588" w:rsidRPr="00B04DA1" w:rsidRDefault="00E376B2" w:rsidP="00144D93">
            <w:pPr>
              <w:contextualSpacing/>
              <w:rPr>
                <w:sz w:val="27"/>
                <w:szCs w:val="27"/>
              </w:rPr>
            </w:pPr>
            <w:r w:rsidRPr="00B04DA1">
              <w:rPr>
                <w:sz w:val="27"/>
                <w:szCs w:val="27"/>
              </w:rPr>
              <w:t>Būvvaldes, BVKB un institūcijas, kuras pilda būvvaldes funkcijas</w:t>
            </w:r>
            <w:r w:rsidR="002E49FE" w:rsidRPr="00B04DA1">
              <w:rPr>
                <w:sz w:val="27"/>
                <w:szCs w:val="27"/>
              </w:rPr>
              <w:t xml:space="preserve"> (piemēram, Valsts vides dienests).</w:t>
            </w:r>
          </w:p>
        </w:tc>
      </w:tr>
      <w:tr w:rsidR="00BD5588" w:rsidRPr="00B04DA1" w14:paraId="4AE9E8F2" w14:textId="77777777" w:rsidTr="00D824C2">
        <w:trPr>
          <w:cantSplit/>
        </w:trPr>
        <w:tc>
          <w:tcPr>
            <w:tcW w:w="311" w:type="pct"/>
            <w:hideMark/>
          </w:tcPr>
          <w:p w14:paraId="4A7A4D5B" w14:textId="77777777" w:rsidR="00BD5588" w:rsidRPr="00B04DA1" w:rsidRDefault="00BD5588" w:rsidP="00144D93">
            <w:pPr>
              <w:contextualSpacing/>
              <w:jc w:val="center"/>
              <w:rPr>
                <w:sz w:val="27"/>
                <w:szCs w:val="27"/>
              </w:rPr>
            </w:pPr>
            <w:r w:rsidRPr="00B04DA1">
              <w:rPr>
                <w:sz w:val="27"/>
                <w:szCs w:val="27"/>
              </w:rPr>
              <w:t>2.</w:t>
            </w:r>
          </w:p>
        </w:tc>
        <w:tc>
          <w:tcPr>
            <w:tcW w:w="1479" w:type="pct"/>
            <w:hideMark/>
          </w:tcPr>
          <w:p w14:paraId="50F67C6A" w14:textId="77777777" w:rsidR="00BD5588" w:rsidRPr="00B04DA1" w:rsidRDefault="00BD5588" w:rsidP="00144D93">
            <w:pPr>
              <w:contextualSpacing/>
              <w:rPr>
                <w:sz w:val="27"/>
                <w:szCs w:val="27"/>
              </w:rPr>
            </w:pPr>
            <w:r w:rsidRPr="00B04DA1">
              <w:rPr>
                <w:sz w:val="27"/>
                <w:szCs w:val="27"/>
              </w:rPr>
              <w:t>Projekta izpildes ietekme uz pārvaldes funkcijām un institucionālo struktūru.</w:t>
            </w:r>
            <w:r w:rsidRPr="00B04DA1">
              <w:rPr>
                <w:sz w:val="27"/>
                <w:szCs w:val="27"/>
              </w:rPr>
              <w:br/>
              <w:t>Jaunu institūciju izveide, esošu institūciju likvidācija vai reorganizācija, to ietekme uz institūcijas cilvēkresursiem</w:t>
            </w:r>
          </w:p>
        </w:tc>
        <w:tc>
          <w:tcPr>
            <w:tcW w:w="3210" w:type="pct"/>
            <w:hideMark/>
          </w:tcPr>
          <w:p w14:paraId="1B0FDEFA" w14:textId="77777777" w:rsidR="00BD5588" w:rsidRPr="00B04DA1" w:rsidRDefault="00E376B2" w:rsidP="002E49FE">
            <w:pPr>
              <w:contextualSpacing/>
              <w:jc w:val="both"/>
              <w:rPr>
                <w:sz w:val="27"/>
                <w:szCs w:val="27"/>
              </w:rPr>
            </w:pPr>
            <w:r w:rsidRPr="00B04DA1">
              <w:rPr>
                <w:sz w:val="27"/>
                <w:szCs w:val="27"/>
              </w:rPr>
              <w:t xml:space="preserve">BVKB uzdevumus tiek plānots grozīt, mainot kontrolējamo objektu raksturojošos lielumus. </w:t>
            </w:r>
            <w:r w:rsidR="002E49FE" w:rsidRPr="00B04DA1">
              <w:rPr>
                <w:sz w:val="27"/>
                <w:szCs w:val="27"/>
              </w:rPr>
              <w:t xml:space="preserve">Ekonomikas ministrijas uzdevums saistībā ar būvniecības kontroli jūrā un ekskluzīvajā ekonomiskajā zonā tiek plānots BVKB. </w:t>
            </w:r>
            <w:r w:rsidRPr="00B04DA1">
              <w:rPr>
                <w:sz w:val="27"/>
                <w:szCs w:val="27"/>
              </w:rPr>
              <w:t xml:space="preserve">Papildus cilvēkresursi, ņemot vērā </w:t>
            </w:r>
            <w:r w:rsidR="002E49FE" w:rsidRPr="00B04DA1">
              <w:rPr>
                <w:sz w:val="27"/>
                <w:szCs w:val="27"/>
              </w:rPr>
              <w:t>grozījumus Būvniecības likuma 6.</w:t>
            </w:r>
            <w:r w:rsidR="002E49FE" w:rsidRPr="00B04DA1">
              <w:rPr>
                <w:sz w:val="27"/>
                <w:szCs w:val="27"/>
                <w:vertAlign w:val="superscript"/>
              </w:rPr>
              <w:t>1</w:t>
            </w:r>
            <w:r w:rsidR="002E49FE" w:rsidRPr="00B04DA1">
              <w:rPr>
                <w:sz w:val="27"/>
                <w:szCs w:val="27"/>
              </w:rPr>
              <w:t> pantā, nav nepieciešami. Vienlaikus būtu jānorāda, ka jaunas institūcijas netiek veidotas, kā arī netiek likvidētas esošās.</w:t>
            </w:r>
          </w:p>
        </w:tc>
      </w:tr>
      <w:tr w:rsidR="00BD5588" w:rsidRPr="00B04DA1" w14:paraId="303AB925" w14:textId="77777777" w:rsidTr="00D824C2">
        <w:trPr>
          <w:cantSplit/>
        </w:trPr>
        <w:tc>
          <w:tcPr>
            <w:tcW w:w="311" w:type="pct"/>
            <w:hideMark/>
          </w:tcPr>
          <w:p w14:paraId="0A9A7ABD" w14:textId="77777777" w:rsidR="00BD5588" w:rsidRPr="00B04DA1" w:rsidRDefault="00BD5588" w:rsidP="00144D93">
            <w:pPr>
              <w:contextualSpacing/>
              <w:jc w:val="center"/>
              <w:rPr>
                <w:sz w:val="27"/>
                <w:szCs w:val="27"/>
              </w:rPr>
            </w:pPr>
            <w:r w:rsidRPr="00B04DA1">
              <w:rPr>
                <w:sz w:val="27"/>
                <w:szCs w:val="27"/>
              </w:rPr>
              <w:t>3.</w:t>
            </w:r>
          </w:p>
        </w:tc>
        <w:tc>
          <w:tcPr>
            <w:tcW w:w="1479" w:type="pct"/>
            <w:hideMark/>
          </w:tcPr>
          <w:p w14:paraId="63634A92" w14:textId="77777777" w:rsidR="00BD5588" w:rsidRPr="00B04DA1" w:rsidRDefault="00BD5588" w:rsidP="00144D93">
            <w:pPr>
              <w:contextualSpacing/>
              <w:rPr>
                <w:sz w:val="27"/>
                <w:szCs w:val="27"/>
              </w:rPr>
            </w:pPr>
            <w:r w:rsidRPr="00B04DA1">
              <w:rPr>
                <w:sz w:val="27"/>
                <w:szCs w:val="27"/>
              </w:rPr>
              <w:t>Cita informācija</w:t>
            </w:r>
          </w:p>
        </w:tc>
        <w:tc>
          <w:tcPr>
            <w:tcW w:w="3210" w:type="pct"/>
            <w:hideMark/>
          </w:tcPr>
          <w:p w14:paraId="7330BFCB" w14:textId="77777777" w:rsidR="00BD5588" w:rsidRPr="00B04DA1" w:rsidRDefault="002E49FE" w:rsidP="00144D93">
            <w:pPr>
              <w:contextualSpacing/>
              <w:rPr>
                <w:sz w:val="27"/>
                <w:szCs w:val="27"/>
              </w:rPr>
            </w:pPr>
            <w:r w:rsidRPr="00B04DA1">
              <w:rPr>
                <w:sz w:val="27"/>
                <w:szCs w:val="27"/>
              </w:rPr>
              <w:t>Nav</w:t>
            </w:r>
          </w:p>
        </w:tc>
      </w:tr>
    </w:tbl>
    <w:p w14:paraId="57DD9795" w14:textId="77777777" w:rsidR="00E44472" w:rsidRPr="00B04DA1" w:rsidRDefault="00E44472" w:rsidP="00144D93">
      <w:pPr>
        <w:contextualSpacing/>
        <w:rPr>
          <w:sz w:val="27"/>
          <w:szCs w:val="27"/>
        </w:rPr>
      </w:pPr>
    </w:p>
    <w:p w14:paraId="6B0D127B" w14:textId="77777777" w:rsidR="0051655D" w:rsidRPr="00B04DA1" w:rsidRDefault="0051655D" w:rsidP="00144D93">
      <w:pPr>
        <w:contextualSpacing/>
        <w:rPr>
          <w:sz w:val="27"/>
          <w:szCs w:val="27"/>
        </w:rPr>
      </w:pPr>
    </w:p>
    <w:p w14:paraId="6F8AF357" w14:textId="77777777" w:rsidR="0051655D" w:rsidRPr="00B04DA1" w:rsidRDefault="0051655D" w:rsidP="0051655D">
      <w:pPr>
        <w:jc w:val="both"/>
        <w:rPr>
          <w:sz w:val="27"/>
          <w:szCs w:val="27"/>
        </w:rPr>
      </w:pPr>
      <w:r w:rsidRPr="00B04DA1">
        <w:rPr>
          <w:sz w:val="27"/>
          <w:szCs w:val="27"/>
        </w:rPr>
        <w:t xml:space="preserve">Ministru prezidenta biedrs, </w:t>
      </w:r>
    </w:p>
    <w:p w14:paraId="40A637C8" w14:textId="77777777" w:rsidR="0051655D" w:rsidRPr="00B04DA1" w:rsidRDefault="0051655D" w:rsidP="0051655D">
      <w:pPr>
        <w:jc w:val="both"/>
        <w:rPr>
          <w:sz w:val="27"/>
          <w:szCs w:val="27"/>
        </w:rPr>
      </w:pPr>
      <w:r w:rsidRPr="00B04DA1">
        <w:rPr>
          <w:sz w:val="27"/>
          <w:szCs w:val="27"/>
        </w:rPr>
        <w:t>ekonomikas ministrs</w:t>
      </w:r>
      <w:r w:rsidRPr="00B04DA1">
        <w:rPr>
          <w:sz w:val="27"/>
          <w:szCs w:val="27"/>
        </w:rPr>
        <w:tab/>
      </w:r>
      <w:r w:rsidRPr="00B04DA1">
        <w:rPr>
          <w:sz w:val="27"/>
          <w:szCs w:val="27"/>
        </w:rPr>
        <w:tab/>
      </w:r>
      <w:r w:rsidRPr="00B04DA1">
        <w:rPr>
          <w:sz w:val="27"/>
          <w:szCs w:val="27"/>
        </w:rPr>
        <w:tab/>
      </w:r>
      <w:r w:rsidRPr="00B04DA1">
        <w:rPr>
          <w:sz w:val="27"/>
          <w:szCs w:val="27"/>
        </w:rPr>
        <w:tab/>
      </w:r>
      <w:r w:rsidRPr="00B04DA1">
        <w:rPr>
          <w:sz w:val="27"/>
          <w:szCs w:val="27"/>
        </w:rPr>
        <w:tab/>
      </w:r>
      <w:r w:rsidRPr="00B04DA1">
        <w:rPr>
          <w:sz w:val="27"/>
          <w:szCs w:val="27"/>
        </w:rPr>
        <w:tab/>
      </w:r>
      <w:proofErr w:type="spellStart"/>
      <w:r w:rsidRPr="00B04DA1">
        <w:rPr>
          <w:sz w:val="27"/>
          <w:szCs w:val="27"/>
        </w:rPr>
        <w:t>A.Ašeradens</w:t>
      </w:r>
      <w:proofErr w:type="spellEnd"/>
    </w:p>
    <w:p w14:paraId="43B6D224" w14:textId="77777777" w:rsidR="0051655D" w:rsidRPr="00B04DA1" w:rsidRDefault="0051655D" w:rsidP="0051655D">
      <w:pPr>
        <w:rPr>
          <w:sz w:val="27"/>
          <w:szCs w:val="27"/>
        </w:rPr>
      </w:pPr>
    </w:p>
    <w:p w14:paraId="57A88ACA" w14:textId="77777777" w:rsidR="00386E6C" w:rsidRPr="00B04DA1" w:rsidRDefault="00386E6C" w:rsidP="0051655D">
      <w:pPr>
        <w:rPr>
          <w:sz w:val="27"/>
          <w:szCs w:val="27"/>
        </w:rPr>
      </w:pPr>
    </w:p>
    <w:p w14:paraId="77E14DCF" w14:textId="77777777" w:rsidR="0051655D" w:rsidRPr="00B04DA1" w:rsidRDefault="0051655D" w:rsidP="0051655D">
      <w:pPr>
        <w:jc w:val="both"/>
        <w:rPr>
          <w:sz w:val="27"/>
          <w:szCs w:val="27"/>
        </w:rPr>
      </w:pPr>
      <w:r w:rsidRPr="00B04DA1">
        <w:rPr>
          <w:sz w:val="27"/>
          <w:szCs w:val="27"/>
        </w:rPr>
        <w:t>Valsts sekretārs</w:t>
      </w:r>
      <w:r w:rsidRPr="00B04DA1">
        <w:rPr>
          <w:sz w:val="27"/>
          <w:szCs w:val="27"/>
        </w:rPr>
        <w:tab/>
      </w:r>
      <w:r w:rsidRPr="00B04DA1">
        <w:rPr>
          <w:sz w:val="27"/>
          <w:szCs w:val="27"/>
        </w:rPr>
        <w:tab/>
      </w:r>
      <w:r w:rsidRPr="00B04DA1">
        <w:rPr>
          <w:sz w:val="27"/>
          <w:szCs w:val="27"/>
        </w:rPr>
        <w:tab/>
      </w:r>
      <w:r w:rsidRPr="00B04DA1">
        <w:rPr>
          <w:sz w:val="27"/>
          <w:szCs w:val="27"/>
        </w:rPr>
        <w:tab/>
      </w:r>
      <w:r w:rsidRPr="00B04DA1">
        <w:rPr>
          <w:sz w:val="27"/>
          <w:szCs w:val="27"/>
        </w:rPr>
        <w:tab/>
      </w:r>
      <w:r w:rsidRPr="00B04DA1">
        <w:rPr>
          <w:sz w:val="27"/>
          <w:szCs w:val="27"/>
        </w:rPr>
        <w:tab/>
      </w:r>
      <w:r w:rsidRPr="00B04DA1">
        <w:rPr>
          <w:sz w:val="27"/>
          <w:szCs w:val="27"/>
        </w:rPr>
        <w:tab/>
      </w:r>
      <w:r w:rsidRPr="00B04DA1">
        <w:rPr>
          <w:sz w:val="27"/>
          <w:szCs w:val="27"/>
        </w:rPr>
        <w:tab/>
      </w:r>
      <w:proofErr w:type="spellStart"/>
      <w:r w:rsidRPr="00B04DA1">
        <w:rPr>
          <w:sz w:val="27"/>
          <w:szCs w:val="27"/>
        </w:rPr>
        <w:t>J.Stinka</w:t>
      </w:r>
      <w:proofErr w:type="spellEnd"/>
    </w:p>
    <w:p w14:paraId="1972E3A8" w14:textId="77777777" w:rsidR="0051655D" w:rsidRDefault="0051655D" w:rsidP="0051655D">
      <w:pPr>
        <w:ind w:firstLine="720"/>
        <w:contextualSpacing/>
        <w:rPr>
          <w:sz w:val="20"/>
          <w:szCs w:val="20"/>
        </w:rPr>
      </w:pPr>
    </w:p>
    <w:p w14:paraId="67945568" w14:textId="77777777" w:rsidR="00386E6C" w:rsidRDefault="00386E6C" w:rsidP="0051655D">
      <w:pPr>
        <w:ind w:firstLine="720"/>
        <w:contextualSpacing/>
        <w:rPr>
          <w:sz w:val="20"/>
          <w:szCs w:val="20"/>
        </w:rPr>
      </w:pPr>
    </w:p>
    <w:p w14:paraId="409D6B85" w14:textId="77777777" w:rsidR="00386E6C" w:rsidRDefault="00386E6C" w:rsidP="0051655D">
      <w:pPr>
        <w:ind w:firstLine="720"/>
        <w:contextualSpacing/>
        <w:rPr>
          <w:sz w:val="20"/>
          <w:szCs w:val="20"/>
        </w:rPr>
      </w:pPr>
    </w:p>
    <w:p w14:paraId="6B62CBF4" w14:textId="1F9EE6CF" w:rsidR="00E04C2E" w:rsidRDefault="00E04C2E" w:rsidP="0051655D">
      <w:pPr>
        <w:ind w:firstLine="720"/>
        <w:contextualSpacing/>
        <w:rPr>
          <w:sz w:val="20"/>
          <w:szCs w:val="20"/>
        </w:rPr>
      </w:pPr>
    </w:p>
    <w:p w14:paraId="2E094A93" w14:textId="03AA0F87" w:rsidR="00E04C2E" w:rsidRDefault="00E04C2E" w:rsidP="0051655D">
      <w:pPr>
        <w:ind w:firstLine="720"/>
        <w:contextualSpacing/>
        <w:rPr>
          <w:sz w:val="20"/>
          <w:szCs w:val="20"/>
        </w:rPr>
      </w:pPr>
    </w:p>
    <w:p w14:paraId="2E225C20" w14:textId="48317CAC" w:rsidR="00E04C2E" w:rsidRDefault="00E04C2E" w:rsidP="0051655D">
      <w:pPr>
        <w:ind w:firstLine="720"/>
        <w:contextualSpacing/>
        <w:rPr>
          <w:sz w:val="20"/>
          <w:szCs w:val="20"/>
        </w:rPr>
      </w:pPr>
    </w:p>
    <w:p w14:paraId="2D88BC96" w14:textId="38926D5F" w:rsidR="00E04C2E" w:rsidRDefault="00E04C2E" w:rsidP="0051655D">
      <w:pPr>
        <w:ind w:firstLine="720"/>
        <w:contextualSpacing/>
        <w:rPr>
          <w:sz w:val="20"/>
          <w:szCs w:val="20"/>
        </w:rPr>
      </w:pPr>
    </w:p>
    <w:p w14:paraId="647AB245" w14:textId="77777777" w:rsidR="00E04C2E" w:rsidRDefault="00E04C2E" w:rsidP="0051655D">
      <w:pPr>
        <w:ind w:firstLine="720"/>
        <w:contextualSpacing/>
        <w:rPr>
          <w:sz w:val="20"/>
          <w:szCs w:val="20"/>
        </w:rPr>
      </w:pPr>
    </w:p>
    <w:p w14:paraId="074D7F81" w14:textId="77777777" w:rsidR="00386E6C" w:rsidRPr="00C474CE" w:rsidRDefault="00386E6C" w:rsidP="0051655D">
      <w:pPr>
        <w:ind w:firstLine="720"/>
        <w:contextualSpacing/>
        <w:rPr>
          <w:sz w:val="20"/>
          <w:szCs w:val="20"/>
        </w:rPr>
      </w:pPr>
    </w:p>
    <w:p w14:paraId="43211EFA" w14:textId="77777777" w:rsidR="0051655D" w:rsidRPr="00C474CE" w:rsidRDefault="0051655D" w:rsidP="0051655D">
      <w:pPr>
        <w:ind w:firstLine="720"/>
        <w:contextualSpacing/>
        <w:rPr>
          <w:sz w:val="20"/>
          <w:szCs w:val="20"/>
        </w:rPr>
      </w:pPr>
    </w:p>
    <w:p w14:paraId="68AE2F9D" w14:textId="36003C96" w:rsidR="0051655D" w:rsidRPr="005E7E16" w:rsidRDefault="0051655D" w:rsidP="0051655D">
      <w:pPr>
        <w:contextualSpacing/>
        <w:jc w:val="both"/>
        <w:rPr>
          <w:sz w:val="20"/>
          <w:szCs w:val="20"/>
        </w:rPr>
      </w:pPr>
      <w:r w:rsidRPr="005E7E16">
        <w:rPr>
          <w:sz w:val="20"/>
          <w:szCs w:val="20"/>
        </w:rPr>
        <w:fldChar w:fldCharType="begin"/>
      </w:r>
      <w:r w:rsidRPr="005E7E16">
        <w:rPr>
          <w:sz w:val="20"/>
          <w:szCs w:val="20"/>
        </w:rPr>
        <w:instrText xml:space="preserve"> DATE  \@ "dd.MM.yyyy HH:mm"  \* MERGEFORMAT </w:instrText>
      </w:r>
      <w:r w:rsidRPr="005E7E16">
        <w:rPr>
          <w:sz w:val="20"/>
          <w:szCs w:val="20"/>
        </w:rPr>
        <w:fldChar w:fldCharType="separate"/>
      </w:r>
      <w:r w:rsidR="00CA7243">
        <w:rPr>
          <w:noProof/>
          <w:sz w:val="20"/>
          <w:szCs w:val="20"/>
        </w:rPr>
        <w:t>05.01.2018 10:06</w:t>
      </w:r>
      <w:r w:rsidRPr="005E7E16">
        <w:rPr>
          <w:sz w:val="20"/>
          <w:szCs w:val="20"/>
        </w:rPr>
        <w:fldChar w:fldCharType="end"/>
      </w:r>
    </w:p>
    <w:bookmarkStart w:id="0" w:name="_GoBack"/>
    <w:bookmarkEnd w:id="0"/>
    <w:p w14:paraId="7D658F38" w14:textId="4586E7FE" w:rsidR="0051655D" w:rsidRPr="005E7E16" w:rsidRDefault="0051655D" w:rsidP="0051655D">
      <w:pPr>
        <w:contextualSpacing/>
        <w:jc w:val="both"/>
        <w:rPr>
          <w:sz w:val="20"/>
          <w:szCs w:val="20"/>
        </w:rPr>
      </w:pPr>
      <w:r w:rsidRPr="005E7E16">
        <w:rPr>
          <w:sz w:val="20"/>
          <w:szCs w:val="20"/>
        </w:rPr>
        <w:fldChar w:fldCharType="begin"/>
      </w:r>
      <w:r w:rsidRPr="005E7E16">
        <w:rPr>
          <w:sz w:val="20"/>
          <w:szCs w:val="20"/>
        </w:rPr>
        <w:instrText xml:space="preserve"> NUMWORDS   \* MERGEFORMAT </w:instrText>
      </w:r>
      <w:r w:rsidRPr="005E7E16">
        <w:rPr>
          <w:sz w:val="20"/>
          <w:szCs w:val="20"/>
        </w:rPr>
        <w:fldChar w:fldCharType="separate"/>
      </w:r>
      <w:r w:rsidR="003211AC">
        <w:rPr>
          <w:noProof/>
          <w:sz w:val="20"/>
          <w:szCs w:val="20"/>
        </w:rPr>
        <w:t>3715</w:t>
      </w:r>
      <w:r w:rsidRPr="005E7E16">
        <w:rPr>
          <w:sz w:val="20"/>
          <w:szCs w:val="20"/>
        </w:rPr>
        <w:fldChar w:fldCharType="end"/>
      </w:r>
    </w:p>
    <w:p w14:paraId="3C345AD8" w14:textId="77777777" w:rsidR="0051655D" w:rsidRPr="005E7E16" w:rsidRDefault="0051655D" w:rsidP="0051655D">
      <w:pPr>
        <w:contextualSpacing/>
        <w:jc w:val="both"/>
        <w:rPr>
          <w:sz w:val="20"/>
          <w:szCs w:val="20"/>
        </w:rPr>
      </w:pPr>
      <w:r w:rsidRPr="005E7E16">
        <w:rPr>
          <w:sz w:val="20"/>
          <w:szCs w:val="20"/>
        </w:rPr>
        <w:t>Lazarevs, 67013035</w:t>
      </w:r>
    </w:p>
    <w:p w14:paraId="3F8DE1EB" w14:textId="77777777" w:rsidR="0051655D" w:rsidRPr="001B6373" w:rsidRDefault="0051655D" w:rsidP="00386E6C">
      <w:pPr>
        <w:contextualSpacing/>
        <w:jc w:val="both"/>
        <w:rPr>
          <w:sz w:val="20"/>
          <w:szCs w:val="20"/>
        </w:rPr>
      </w:pPr>
      <w:r w:rsidRPr="00C92A68">
        <w:rPr>
          <w:sz w:val="20"/>
          <w:szCs w:val="20"/>
        </w:rPr>
        <w:t>Andris.Lazarevs@em.gov.lv</w:t>
      </w:r>
    </w:p>
    <w:sectPr w:rsidR="0051655D" w:rsidRPr="001B6373" w:rsidSect="008B4858">
      <w:headerReference w:type="default"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58F9B" w14:textId="77777777" w:rsidR="00565009" w:rsidRDefault="00565009" w:rsidP="008B4858">
      <w:r>
        <w:separator/>
      </w:r>
    </w:p>
  </w:endnote>
  <w:endnote w:type="continuationSeparator" w:id="0">
    <w:p w14:paraId="446AB01A" w14:textId="77777777" w:rsidR="00565009" w:rsidRDefault="00565009" w:rsidP="008B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EAAE" w14:textId="72D42F62" w:rsidR="00501E99" w:rsidRDefault="00501E99">
    <w:pPr>
      <w:pStyle w:val="Footer"/>
    </w:pPr>
    <w:r w:rsidRPr="00501E99">
      <w:rPr>
        <w:sz w:val="20"/>
        <w:szCs w:val="20"/>
      </w:rPr>
      <w:fldChar w:fldCharType="begin"/>
    </w:r>
    <w:r w:rsidRPr="00501E99">
      <w:rPr>
        <w:sz w:val="20"/>
        <w:szCs w:val="20"/>
      </w:rPr>
      <w:instrText xml:space="preserve"> FILENAME   \* MERGEFORMAT </w:instrText>
    </w:r>
    <w:r w:rsidRPr="00501E99">
      <w:rPr>
        <w:sz w:val="20"/>
        <w:szCs w:val="20"/>
      </w:rPr>
      <w:fldChar w:fldCharType="separate"/>
    </w:r>
    <w:r w:rsidR="00CA7243">
      <w:rPr>
        <w:noProof/>
        <w:sz w:val="20"/>
        <w:szCs w:val="20"/>
      </w:rPr>
      <w:t>EMAnot_050118_BL_groz-V7.docx</w:t>
    </w:r>
    <w:r w:rsidRPr="00501E99">
      <w:rPr>
        <w:sz w:val="20"/>
        <w:szCs w:val="20"/>
      </w:rPr>
      <w:fldChar w:fldCharType="end"/>
    </w:r>
    <w:r w:rsidRPr="00501E99">
      <w:rPr>
        <w:sz w:val="20"/>
        <w:szCs w:val="20"/>
      </w:rPr>
      <w:t>; Likumprojekta „Grozījumi Būvniecības likumā” 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14C0" w14:textId="4F34E576" w:rsidR="00501E99" w:rsidRPr="00501E99" w:rsidRDefault="00501E99">
    <w:pPr>
      <w:pStyle w:val="Footer"/>
      <w:rPr>
        <w:sz w:val="20"/>
        <w:szCs w:val="20"/>
      </w:rPr>
    </w:pPr>
    <w:r w:rsidRPr="00501E99">
      <w:rPr>
        <w:sz w:val="20"/>
        <w:szCs w:val="20"/>
      </w:rPr>
      <w:fldChar w:fldCharType="begin"/>
    </w:r>
    <w:r w:rsidRPr="00501E99">
      <w:rPr>
        <w:sz w:val="20"/>
        <w:szCs w:val="20"/>
      </w:rPr>
      <w:instrText xml:space="preserve"> FILENAME   \* MERGEFORMAT </w:instrText>
    </w:r>
    <w:r w:rsidRPr="00501E99">
      <w:rPr>
        <w:sz w:val="20"/>
        <w:szCs w:val="20"/>
      </w:rPr>
      <w:fldChar w:fldCharType="separate"/>
    </w:r>
    <w:r w:rsidR="00CA7243">
      <w:rPr>
        <w:noProof/>
        <w:sz w:val="20"/>
        <w:szCs w:val="20"/>
      </w:rPr>
      <w:t>EMAnot_050118_BL_groz-V7.docx</w:t>
    </w:r>
    <w:r w:rsidRPr="00501E99">
      <w:rPr>
        <w:sz w:val="20"/>
        <w:szCs w:val="20"/>
      </w:rPr>
      <w:fldChar w:fldCharType="end"/>
    </w:r>
    <w:r w:rsidRPr="00501E99">
      <w:rPr>
        <w:sz w:val="20"/>
        <w:szCs w:val="20"/>
      </w:rPr>
      <w:t>; Likumprojekta „Grozījumi Būvniecības likumā” 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8D803" w14:textId="77777777" w:rsidR="00565009" w:rsidRDefault="00565009" w:rsidP="008B4858">
      <w:r>
        <w:separator/>
      </w:r>
    </w:p>
  </w:footnote>
  <w:footnote w:type="continuationSeparator" w:id="0">
    <w:p w14:paraId="2417A8E4" w14:textId="77777777" w:rsidR="00565009" w:rsidRDefault="00565009" w:rsidP="008B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314739"/>
      <w:docPartObj>
        <w:docPartGallery w:val="Page Numbers (Top of Page)"/>
        <w:docPartUnique/>
      </w:docPartObj>
    </w:sdtPr>
    <w:sdtEndPr>
      <w:rPr>
        <w:noProof/>
      </w:rPr>
    </w:sdtEndPr>
    <w:sdtContent>
      <w:p w14:paraId="60AB8086" w14:textId="6CF9AD36" w:rsidR="003B4BC8" w:rsidRDefault="003B4BC8">
        <w:pPr>
          <w:pStyle w:val="Header"/>
          <w:jc w:val="center"/>
        </w:pPr>
        <w:r>
          <w:fldChar w:fldCharType="begin"/>
        </w:r>
        <w:r>
          <w:instrText xml:space="preserve"> PAGE   \* MERGEFORMAT </w:instrText>
        </w:r>
        <w:r>
          <w:fldChar w:fldCharType="separate"/>
        </w:r>
        <w:r w:rsidR="003211AC">
          <w:rPr>
            <w:noProof/>
          </w:rPr>
          <w:t>16</w:t>
        </w:r>
        <w:r>
          <w:rPr>
            <w:noProof/>
          </w:rPr>
          <w:fldChar w:fldCharType="end"/>
        </w:r>
      </w:p>
    </w:sdtContent>
  </w:sdt>
  <w:p w14:paraId="2E6E751D" w14:textId="77777777" w:rsidR="003B4BC8" w:rsidRDefault="003B4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3345"/>
    <w:multiLevelType w:val="hybridMultilevel"/>
    <w:tmpl w:val="166CB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2DB0"/>
    <w:rsid w:val="00004315"/>
    <w:rsid w:val="000225DE"/>
    <w:rsid w:val="0002290D"/>
    <w:rsid w:val="00025626"/>
    <w:rsid w:val="00025AB3"/>
    <w:rsid w:val="00040197"/>
    <w:rsid w:val="00067E6B"/>
    <w:rsid w:val="000710C7"/>
    <w:rsid w:val="000755F0"/>
    <w:rsid w:val="00081509"/>
    <w:rsid w:val="00087F90"/>
    <w:rsid w:val="00105029"/>
    <w:rsid w:val="0010728A"/>
    <w:rsid w:val="00120DA4"/>
    <w:rsid w:val="0012231F"/>
    <w:rsid w:val="00133A1D"/>
    <w:rsid w:val="00144D93"/>
    <w:rsid w:val="00154258"/>
    <w:rsid w:val="00160610"/>
    <w:rsid w:val="00181AF7"/>
    <w:rsid w:val="00186F45"/>
    <w:rsid w:val="00187D69"/>
    <w:rsid w:val="001B6373"/>
    <w:rsid w:val="001D01BC"/>
    <w:rsid w:val="001D4DDE"/>
    <w:rsid w:val="001D75F2"/>
    <w:rsid w:val="002047FD"/>
    <w:rsid w:val="00204D75"/>
    <w:rsid w:val="00241CAC"/>
    <w:rsid w:val="00253127"/>
    <w:rsid w:val="002600BD"/>
    <w:rsid w:val="00260EB2"/>
    <w:rsid w:val="00267083"/>
    <w:rsid w:val="00272D57"/>
    <w:rsid w:val="002912BB"/>
    <w:rsid w:val="00296137"/>
    <w:rsid w:val="002C3A15"/>
    <w:rsid w:val="002C6FBE"/>
    <w:rsid w:val="002E24B0"/>
    <w:rsid w:val="002E373C"/>
    <w:rsid w:val="002E49FE"/>
    <w:rsid w:val="0030068E"/>
    <w:rsid w:val="00302B45"/>
    <w:rsid w:val="003211AC"/>
    <w:rsid w:val="00343282"/>
    <w:rsid w:val="003455EB"/>
    <w:rsid w:val="00352137"/>
    <w:rsid w:val="0035569D"/>
    <w:rsid w:val="003679B9"/>
    <w:rsid w:val="00367C3A"/>
    <w:rsid w:val="00367EF8"/>
    <w:rsid w:val="00386E6C"/>
    <w:rsid w:val="0039533E"/>
    <w:rsid w:val="003A03D2"/>
    <w:rsid w:val="003B4BC8"/>
    <w:rsid w:val="003B4FE3"/>
    <w:rsid w:val="003B6DE8"/>
    <w:rsid w:val="003D3D27"/>
    <w:rsid w:val="003D5404"/>
    <w:rsid w:val="003E1BEF"/>
    <w:rsid w:val="003F057F"/>
    <w:rsid w:val="0041507D"/>
    <w:rsid w:val="00423868"/>
    <w:rsid w:val="004251AF"/>
    <w:rsid w:val="00433EA7"/>
    <w:rsid w:val="004370B7"/>
    <w:rsid w:val="0044518C"/>
    <w:rsid w:val="00457485"/>
    <w:rsid w:val="0046399A"/>
    <w:rsid w:val="00485567"/>
    <w:rsid w:val="00490ECB"/>
    <w:rsid w:val="004B5967"/>
    <w:rsid w:val="004C3DF0"/>
    <w:rsid w:val="004C6025"/>
    <w:rsid w:val="004C7672"/>
    <w:rsid w:val="004E1BF0"/>
    <w:rsid w:val="004F3067"/>
    <w:rsid w:val="004F3AFB"/>
    <w:rsid w:val="00501E99"/>
    <w:rsid w:val="0051655D"/>
    <w:rsid w:val="005300AC"/>
    <w:rsid w:val="00556B1A"/>
    <w:rsid w:val="00565009"/>
    <w:rsid w:val="0058326E"/>
    <w:rsid w:val="00586A1F"/>
    <w:rsid w:val="005A4BB9"/>
    <w:rsid w:val="005D33F5"/>
    <w:rsid w:val="005D5166"/>
    <w:rsid w:val="005D6AF5"/>
    <w:rsid w:val="005F39EB"/>
    <w:rsid w:val="005F51EA"/>
    <w:rsid w:val="005F7CB3"/>
    <w:rsid w:val="00631AED"/>
    <w:rsid w:val="00664E51"/>
    <w:rsid w:val="00673DAA"/>
    <w:rsid w:val="006A567C"/>
    <w:rsid w:val="006F4455"/>
    <w:rsid w:val="00711D27"/>
    <w:rsid w:val="00727141"/>
    <w:rsid w:val="007368A6"/>
    <w:rsid w:val="007444EC"/>
    <w:rsid w:val="007766CD"/>
    <w:rsid w:val="007A0CE0"/>
    <w:rsid w:val="007A5EC2"/>
    <w:rsid w:val="007C69B6"/>
    <w:rsid w:val="007E0AB4"/>
    <w:rsid w:val="00835885"/>
    <w:rsid w:val="008430D1"/>
    <w:rsid w:val="00850762"/>
    <w:rsid w:val="008566E9"/>
    <w:rsid w:val="00891B0C"/>
    <w:rsid w:val="008955D5"/>
    <w:rsid w:val="008A42A2"/>
    <w:rsid w:val="008B27B4"/>
    <w:rsid w:val="008B2A86"/>
    <w:rsid w:val="008B4858"/>
    <w:rsid w:val="008B57CE"/>
    <w:rsid w:val="008C4958"/>
    <w:rsid w:val="008F3314"/>
    <w:rsid w:val="0090030A"/>
    <w:rsid w:val="00907848"/>
    <w:rsid w:val="009324C3"/>
    <w:rsid w:val="0096265F"/>
    <w:rsid w:val="0097782F"/>
    <w:rsid w:val="009A1353"/>
    <w:rsid w:val="00A108E3"/>
    <w:rsid w:val="00A27BB5"/>
    <w:rsid w:val="00A3099F"/>
    <w:rsid w:val="00A3156A"/>
    <w:rsid w:val="00A33092"/>
    <w:rsid w:val="00A7108F"/>
    <w:rsid w:val="00A77386"/>
    <w:rsid w:val="00A82BC9"/>
    <w:rsid w:val="00A84983"/>
    <w:rsid w:val="00A91206"/>
    <w:rsid w:val="00AA0DFA"/>
    <w:rsid w:val="00AB2695"/>
    <w:rsid w:val="00AE1F9D"/>
    <w:rsid w:val="00AF3119"/>
    <w:rsid w:val="00AF7D9C"/>
    <w:rsid w:val="00B028B6"/>
    <w:rsid w:val="00B03DDE"/>
    <w:rsid w:val="00B04DA1"/>
    <w:rsid w:val="00B1563C"/>
    <w:rsid w:val="00B24B11"/>
    <w:rsid w:val="00B25FEA"/>
    <w:rsid w:val="00B51B2E"/>
    <w:rsid w:val="00B8301F"/>
    <w:rsid w:val="00B9152A"/>
    <w:rsid w:val="00B94112"/>
    <w:rsid w:val="00BA578F"/>
    <w:rsid w:val="00BA6B31"/>
    <w:rsid w:val="00BB2DE4"/>
    <w:rsid w:val="00BC6BA8"/>
    <w:rsid w:val="00BD5588"/>
    <w:rsid w:val="00BE30B3"/>
    <w:rsid w:val="00BF7248"/>
    <w:rsid w:val="00C01A36"/>
    <w:rsid w:val="00C04CD4"/>
    <w:rsid w:val="00C1680A"/>
    <w:rsid w:val="00C23609"/>
    <w:rsid w:val="00C30A72"/>
    <w:rsid w:val="00C32947"/>
    <w:rsid w:val="00C45BA2"/>
    <w:rsid w:val="00C474CE"/>
    <w:rsid w:val="00C6584D"/>
    <w:rsid w:val="00C73C70"/>
    <w:rsid w:val="00C86437"/>
    <w:rsid w:val="00CA7243"/>
    <w:rsid w:val="00CB4753"/>
    <w:rsid w:val="00CC1405"/>
    <w:rsid w:val="00CD346E"/>
    <w:rsid w:val="00CD44C1"/>
    <w:rsid w:val="00CE3436"/>
    <w:rsid w:val="00D02A22"/>
    <w:rsid w:val="00D03B76"/>
    <w:rsid w:val="00D13051"/>
    <w:rsid w:val="00D276E5"/>
    <w:rsid w:val="00D40B48"/>
    <w:rsid w:val="00D71D8D"/>
    <w:rsid w:val="00D766C6"/>
    <w:rsid w:val="00D76C05"/>
    <w:rsid w:val="00D824C2"/>
    <w:rsid w:val="00DA736A"/>
    <w:rsid w:val="00DA7D5A"/>
    <w:rsid w:val="00DC32AC"/>
    <w:rsid w:val="00DD20F3"/>
    <w:rsid w:val="00DD7E1C"/>
    <w:rsid w:val="00DE5AD5"/>
    <w:rsid w:val="00E04C2E"/>
    <w:rsid w:val="00E15CE3"/>
    <w:rsid w:val="00E2364F"/>
    <w:rsid w:val="00E376B2"/>
    <w:rsid w:val="00E42AD7"/>
    <w:rsid w:val="00E44472"/>
    <w:rsid w:val="00E52D43"/>
    <w:rsid w:val="00E710E9"/>
    <w:rsid w:val="00E716D5"/>
    <w:rsid w:val="00EA39FC"/>
    <w:rsid w:val="00EC259F"/>
    <w:rsid w:val="00ED6182"/>
    <w:rsid w:val="00EE3261"/>
    <w:rsid w:val="00EE7F79"/>
    <w:rsid w:val="00EF057B"/>
    <w:rsid w:val="00EF5DA8"/>
    <w:rsid w:val="00F02237"/>
    <w:rsid w:val="00F15DB3"/>
    <w:rsid w:val="00F37A4B"/>
    <w:rsid w:val="00F51B1F"/>
    <w:rsid w:val="00F61C0B"/>
    <w:rsid w:val="00F663C4"/>
    <w:rsid w:val="00F74759"/>
    <w:rsid w:val="00F75E37"/>
    <w:rsid w:val="00F76F8E"/>
    <w:rsid w:val="00F9083A"/>
    <w:rsid w:val="00F97242"/>
    <w:rsid w:val="00F978F3"/>
    <w:rsid w:val="00FA0475"/>
    <w:rsid w:val="00FA4750"/>
    <w:rsid w:val="00FA7790"/>
    <w:rsid w:val="00FA7DAC"/>
    <w:rsid w:val="00FC1864"/>
    <w:rsid w:val="00FD3B7C"/>
    <w:rsid w:val="00FD5F92"/>
    <w:rsid w:val="00FD6E15"/>
    <w:rsid w:val="00FE76F4"/>
    <w:rsid w:val="00FF2538"/>
    <w:rsid w:val="00FF41FB"/>
    <w:rsid w:val="00FF666B"/>
    <w:rsid w:val="00FF78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CC7B"/>
  <w15:docId w15:val="{F88839AE-ABFF-42F0-B1A7-A91B1669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BD5588"/>
    <w:rPr>
      <w:color w:val="0000FF"/>
      <w:u w:val="single"/>
    </w:rPr>
  </w:style>
  <w:style w:type="paragraph" w:styleId="ListParagraph">
    <w:name w:val="List Paragraph"/>
    <w:basedOn w:val="Normal"/>
    <w:uiPriority w:val="34"/>
    <w:qFormat/>
    <w:rsid w:val="001B6373"/>
    <w:pPr>
      <w:ind w:left="720"/>
      <w:contextualSpacing/>
    </w:pPr>
  </w:style>
  <w:style w:type="paragraph" w:styleId="Header">
    <w:name w:val="header"/>
    <w:basedOn w:val="Normal"/>
    <w:link w:val="HeaderChar"/>
    <w:uiPriority w:val="99"/>
    <w:unhideWhenUsed/>
    <w:rsid w:val="008B4858"/>
    <w:pPr>
      <w:tabs>
        <w:tab w:val="center" w:pos="4153"/>
        <w:tab w:val="right" w:pos="8306"/>
      </w:tabs>
    </w:pPr>
  </w:style>
  <w:style w:type="character" w:customStyle="1" w:styleId="HeaderChar">
    <w:name w:val="Header Char"/>
    <w:basedOn w:val="DefaultParagraphFont"/>
    <w:link w:val="Header"/>
    <w:uiPriority w:val="99"/>
    <w:rsid w:val="008B485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B4858"/>
    <w:pPr>
      <w:tabs>
        <w:tab w:val="center" w:pos="4153"/>
        <w:tab w:val="right" w:pos="8306"/>
      </w:tabs>
    </w:pPr>
  </w:style>
  <w:style w:type="character" w:customStyle="1" w:styleId="FooterChar">
    <w:name w:val="Footer Char"/>
    <w:basedOn w:val="DefaultParagraphFont"/>
    <w:link w:val="Footer"/>
    <w:uiPriority w:val="99"/>
    <w:rsid w:val="008B485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1655D"/>
    <w:rPr>
      <w:rFonts w:ascii="Tahoma" w:hAnsi="Tahoma" w:cs="Tahoma"/>
      <w:sz w:val="16"/>
      <w:szCs w:val="16"/>
    </w:rPr>
  </w:style>
  <w:style w:type="character" w:customStyle="1" w:styleId="BalloonTextChar">
    <w:name w:val="Balloon Text Char"/>
    <w:basedOn w:val="DefaultParagraphFont"/>
    <w:link w:val="BalloonText"/>
    <w:uiPriority w:val="99"/>
    <w:semiHidden/>
    <w:rsid w:val="005165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EA39FC"/>
    <w:rPr>
      <w:sz w:val="16"/>
      <w:szCs w:val="16"/>
    </w:rPr>
  </w:style>
  <w:style w:type="paragraph" w:styleId="CommentText">
    <w:name w:val="annotation text"/>
    <w:basedOn w:val="Normal"/>
    <w:link w:val="CommentTextChar"/>
    <w:uiPriority w:val="99"/>
    <w:semiHidden/>
    <w:unhideWhenUsed/>
    <w:rsid w:val="00EA39FC"/>
    <w:rPr>
      <w:sz w:val="20"/>
      <w:szCs w:val="20"/>
    </w:rPr>
  </w:style>
  <w:style w:type="character" w:customStyle="1" w:styleId="CommentTextChar">
    <w:name w:val="Comment Text Char"/>
    <w:basedOn w:val="DefaultParagraphFont"/>
    <w:link w:val="CommentText"/>
    <w:uiPriority w:val="99"/>
    <w:semiHidden/>
    <w:rsid w:val="00EA39F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A39FC"/>
    <w:rPr>
      <w:b/>
      <w:bCs/>
    </w:rPr>
  </w:style>
  <w:style w:type="character" w:customStyle="1" w:styleId="CommentSubjectChar">
    <w:name w:val="Comment Subject Char"/>
    <w:basedOn w:val="CommentTextChar"/>
    <w:link w:val="CommentSubject"/>
    <w:uiPriority w:val="99"/>
    <w:semiHidden/>
    <w:rsid w:val="00EA39F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9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E5D9-4775-4CA9-B455-A878EBFE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3743</Words>
  <Characters>26845</Characters>
  <Application>Microsoft Office Word</Application>
  <DocSecurity>0</DocSecurity>
  <Lines>838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Andris Lazarevs</cp:lastModifiedBy>
  <cp:revision>9</cp:revision>
  <dcterms:created xsi:type="dcterms:W3CDTF">2018-01-05T07:49:00Z</dcterms:created>
  <dcterms:modified xsi:type="dcterms:W3CDTF">2018-01-05T08:28:00Z</dcterms:modified>
</cp:coreProperties>
</file>